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5"/>
        <w:framePr w:wrap="around"/>
      </w:pPr>
      <w:r>
        <w:rPr>
          <w:rFonts w:ascii="Times New Roman"/>
        </w:rPr>
        <w:t>ICS</w:t>
      </w:r>
      <w:r>
        <w:rPr>
          <w:rFonts w:hAnsi="黑体"/>
        </w:rPr>
        <w:t> </w:t>
      </w:r>
      <w: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bookmarkStart w:id="0" w:name="ICS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0"/>
    </w:p>
    <w:p>
      <w:pPr>
        <w:pStyle w:val="115"/>
        <w:framePr w:wrap="around"/>
      </w:pPr>
      <w: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点击此处添加中国标准文献分类号"/>
            </w:textInput>
          </w:ffData>
        </w:fldChar>
      </w:r>
      <w:bookmarkStart w:id="1" w:name="WXFLH"/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点击此处添加中国标准文献分类号</w:t>
      </w:r>
      <w:r>
        <w:fldChar w:fldCharType="end"/>
      </w:r>
      <w:bookmarkEnd w:id="1"/>
    </w:p>
    <w:tbl>
      <w:tblPr>
        <w:tblStyle w:val="1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115"/>
              <w:framePr w:wrap="around"/>
            </w:pPr>
            <w: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0" b="0"/>
                      <wp:wrapNone/>
                      <wp:docPr id="1382582071" name="BAH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BAH" o:spid="_x0000_s1026" o:spt="1" style="position:absolute;left:0pt;margin-left:-5.25pt;margin-top:0pt;height:15.6pt;width:68.25pt;z-index:-251652096;mso-width-relative:page;mso-height-relative:page;" fillcolor="#FFFFFF" filled="t" stroked="f" coordsize="21600,21600" o:gfxdata="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DIri/s1QAAAAcBAAAPAAAAAAAAAAEA&#10;IAAAADgAAABkcnMvZG93bnJldi54bWxQSwECFAAUAAAACACHTuJAYyTqSvwBAAD5AwAADgAAAAAA&#10;AAABACAAAAA6AQAAZHJzL2Uyb0RvYy54bWxQSwUGAAAAAAYABgBZAQAAqA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2"/>
          </w:p>
        </w:tc>
      </w:tr>
    </w:tbl>
    <w:p>
      <w:pPr>
        <w:pStyle w:val="101"/>
        <w:framePr w:wrap="around"/>
      </w:pPr>
      <w:r>
        <w:t>Q/</w:t>
      </w:r>
      <w:r>
        <w:fldChar w:fldCharType="begin">
          <w:ffData>
            <w:name w:val="c5"/>
            <w:enabled/>
            <w:calcOnExit w:val="0"/>
            <w:entryMacro w:val="ShowHelp17"/>
            <w:textInput/>
          </w:ffData>
        </w:fldChar>
      </w:r>
      <w:bookmarkStart w:id="3" w:name="c5"/>
      <w:r>
        <w:instrText xml:space="preserve"> FORMTEXT </w:instrText>
      </w:r>
      <w:r>
        <w:fldChar w:fldCharType="separate"/>
      </w:r>
      <w:r>
        <w:rPr>
          <w:rFonts w:hint="eastAsia"/>
        </w:rPr>
        <w:t>QFX</w:t>
      </w:r>
      <w:r>
        <w:fldChar w:fldCharType="end"/>
      </w:r>
      <w:bookmarkEnd w:id="3"/>
    </w:p>
    <w:p>
      <w:pPr>
        <w:pStyle w:val="102"/>
        <w:framePr w:wrap="around"/>
        <w:rPr>
          <w:rFonts w:ascii="Times New Roman" w:hAnsi="Times New Roman"/>
        </w:rPr>
      </w:pPr>
      <w:r>
        <w:fldChar w:fldCharType="begin">
          <w:ffData>
            <w:name w:val="c6"/>
            <w:enabled/>
            <w:calcOnExit w:val="0"/>
            <w:entryMacro w:val="showhelp13"/>
            <w:textInput/>
          </w:ffData>
        </w:fldChar>
      </w:r>
      <w:bookmarkStart w:id="4" w:name="c6"/>
      <w:r>
        <w:instrText xml:space="preserve"> FORMTEXT </w:instrText>
      </w:r>
      <w:r>
        <w:fldChar w:fldCharType="separate"/>
      </w:r>
      <w:r>
        <w:rPr>
          <w:rFonts w:hint="eastAsia"/>
        </w:rPr>
        <w:t>昆明七彩云南庆沣祥茶业股份有限公司</w:t>
      </w:r>
      <w:r>
        <w:fldChar w:fldCharType="end"/>
      </w:r>
      <w:bookmarkEnd w:id="4"/>
      <w:r>
        <w:rPr>
          <w:rFonts w:hint="eastAsia"/>
        </w:rPr>
        <w:t>企业标</w:t>
      </w:r>
      <w:r>
        <w:rPr>
          <w:rFonts w:hint="eastAsia" w:ascii="Times New Roman" w:hAnsi="Times New Roman"/>
        </w:rPr>
        <w:t>准</w:t>
      </w:r>
    </w:p>
    <w:p>
      <w:pPr>
        <w:pStyle w:val="32"/>
        <w:framePr w:wrap="around"/>
        <w:wordWrap w:val="0"/>
        <w:rPr>
          <w:rFonts w:hAnsi="黑体"/>
        </w:rPr>
      </w:pPr>
      <w:r>
        <w:rPr>
          <w:rFonts w:ascii="Times New Roman"/>
        </w:rPr>
        <w:t>Q/</w:t>
      </w:r>
      <w:r>
        <w:rPr>
          <w:rFonts w:ascii="Times New Roman"/>
        </w:rPr>
        <w:fldChar w:fldCharType="begin">
          <w:ffData>
            <w:name w:val="StdNo0"/>
            <w:enabled/>
            <w:calcOnExit w:val="0"/>
            <w:textInput>
              <w:default w:val="XXX"/>
            </w:textInput>
          </w:ffData>
        </w:fldChar>
      </w:r>
      <w:bookmarkStart w:id="5" w:name="StdNo0"/>
      <w:r>
        <w:rPr>
          <w:rFonts w:ascii="Times New Roman"/>
        </w:rPr>
        <w:instrText xml:space="preserve"> FORMTEXT </w:instrText>
      </w:r>
      <w:r>
        <w:rPr>
          <w:rFonts w:ascii="Times New Roman"/>
        </w:rPr>
        <w:fldChar w:fldCharType="separate"/>
      </w:r>
      <w:r>
        <w:rPr>
          <w:rFonts w:hint="eastAsia" w:ascii="Times New Roman"/>
        </w:rPr>
        <w:t>Q</w:t>
      </w:r>
      <w:r>
        <w:rPr>
          <w:rFonts w:ascii="Times New Roman"/>
        </w:rPr>
        <w:t>F</w:t>
      </w:r>
      <w:r>
        <w:rPr>
          <w:rFonts w:hint="eastAsia" w:ascii="Times New Roman"/>
        </w:rPr>
        <w:t>X</w:t>
      </w:r>
      <w:r>
        <w:rPr>
          <w:rFonts w:ascii="Times New Roman"/>
        </w:rPr>
        <w:fldChar w:fldCharType="end"/>
      </w:r>
      <w:bookmarkEnd w:id="5"/>
      <w:r>
        <w:rPr>
          <w:rFonts w:hAnsi="黑体"/>
        </w:rPr>
        <w:t xml:space="preserve"> </w:t>
      </w:r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bookmarkStart w:id="6" w:name="StdNo1"/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0</w:t>
      </w:r>
      <w:r>
        <w:rPr>
          <w:rFonts w:hint="eastAsia" w:hAnsi="黑体"/>
        </w:rPr>
        <w:t>013 S</w:t>
      </w:r>
      <w:r>
        <w:rPr>
          <w:rFonts w:hAnsi="黑体"/>
        </w:rPr>
        <w:fldChar w:fldCharType="end"/>
      </w:r>
      <w:bookmarkEnd w:id="6"/>
      <w:r>
        <w:rPr>
          <w:rFonts w:hAnsi="黑体"/>
        </w:rPr>
        <w:t>—</w:t>
      </w:r>
      <w:r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7" w:name="StdNo2"/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int="eastAsia" w:hAnsi="黑体"/>
        </w:rPr>
        <w:t>2023</w:t>
      </w:r>
      <w:r>
        <w:rPr>
          <w:rFonts w:hAnsi="黑体"/>
        </w:rPr>
        <w:fldChar w:fldCharType="end"/>
      </w:r>
      <w:bookmarkEnd w:id="7"/>
    </w:p>
    <w:tbl>
      <w:tblPr>
        <w:tblStyle w:val="1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61"/>
              <w:framePr w:wrap="around"/>
              <w:wordWrap w:val="0"/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1963895177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T" o:spid="_x0000_s1026" o:spt="1" style="position:absolute;left:0pt;margin-left:372.8pt;margin-top:2.7pt;height:18pt;width:90pt;z-index:-251655168;mso-width-relative:page;mso-height-relative:page;" fillcolor="#FFFFFF" filled="t" stroked="f" coordsize="21600,21600" o:gfxdata="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WAAAAZHJzL1BLAQIUABQAAAAIAIdO4kAeYPLL1gAAAAgBAAAPAAAAAAAAAAEAIAAA&#10;ADgAAABkcnMvZG93bnJldi54bWxQSwECFAAUAAAACACHTuJADsl5e/gBAAD5AwAADgAAAAAAAAAB&#10;ACAAAAA7AQAAZHJzL2Uyb0RvYy54bWxQSwUGAAAAAAYABgBZAQAApQ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DT"/>
                  <w:enabled/>
                  <w:calcOnExit w:val="0"/>
                  <w:entryMacro w:val="ShowHelp4"/>
                  <w:textInput/>
                </w:ffData>
              </w:fldChar>
            </w:r>
            <w:bookmarkStart w:id="8" w:name="DT"/>
            <w:r>
              <w:instrText xml:space="preserve"> FORMTEXT </w:instrText>
            </w:r>
            <w:r>
              <w:fldChar w:fldCharType="separate"/>
            </w:r>
            <w:r>
              <w:rPr>
                <w:rFonts w:hint="eastAsia"/>
              </w:rPr>
              <w:t>代替</w:t>
            </w:r>
            <w:r>
              <w:t xml:space="preserve"> Q/ </w:t>
            </w:r>
            <w:r>
              <w:rPr>
                <w:rFonts w:hint="eastAsia"/>
              </w:rPr>
              <w:t>QFX 0013 S-2021</w:t>
            </w:r>
            <w:r>
              <w:fldChar w:fldCharType="end"/>
            </w:r>
            <w:bookmarkEnd w:id="8"/>
          </w:p>
        </w:tc>
      </w:tr>
    </w:tbl>
    <w:p>
      <w:pPr>
        <w:pStyle w:val="32"/>
        <w:framePr w:wrap="around"/>
        <w:rPr>
          <w:rFonts w:hAnsi="黑体"/>
        </w:rPr>
      </w:pPr>
    </w:p>
    <w:p>
      <w:pPr>
        <w:pStyle w:val="32"/>
        <w:framePr w:wrap="around"/>
        <w:rPr>
          <w:rFonts w:hAnsi="黑体"/>
        </w:rPr>
      </w:pPr>
    </w:p>
    <w:p>
      <w:pPr>
        <w:pStyle w:val="63"/>
        <w:framePr w:wrap="around"/>
      </w:pPr>
      <w: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bookmarkStart w:id="9" w:name="StdName"/>
      <w:r>
        <w:instrText xml:space="preserve"> FORMTEXT </w:instrText>
      </w:r>
      <w:r>
        <w:fldChar w:fldCharType="separate"/>
      </w:r>
      <w:r>
        <w:rPr>
          <w:rFonts w:hint="eastAsia"/>
        </w:rPr>
        <w:t>年份普洱茶</w:t>
      </w:r>
      <w:r>
        <w:fldChar w:fldCharType="end"/>
      </w:r>
      <w:bookmarkEnd w:id="9"/>
    </w:p>
    <w:p>
      <w:pPr>
        <w:pStyle w:val="64"/>
        <w:framePr w:wrap="around"/>
      </w:pPr>
      <w: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bookmarkStart w:id="10" w:name="StdEnglishName"/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点击此处添加标准英文译名</w:t>
      </w:r>
      <w:r>
        <w:fldChar w:fldCharType="end"/>
      </w:r>
      <w:bookmarkEnd w:id="10"/>
    </w:p>
    <w:p>
      <w:pPr>
        <w:pStyle w:val="65"/>
        <w:framePr w:wrap="around"/>
      </w:pPr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bookmarkStart w:id="11" w:name="YZBS"/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点击此处添加与国际标准一致性程度的标识</w:t>
      </w:r>
      <w:r>
        <w:fldChar w:fldCharType="end"/>
      </w:r>
      <w:bookmarkEnd w:id="11"/>
    </w:p>
    <w:tbl>
      <w:tblPr>
        <w:tblStyle w:val="1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66"/>
              <w:framePr w:wrap="around"/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0"/>
                      <wp:wrapNone/>
                      <wp:docPr id="67203973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73.3pt;margin-top:45.15pt;height:20pt;width:150pt;z-index:-251653120;mso-width-relative:page;mso-height-relative:page;" fillcolor="#FFFFFF" filled="t" stroked="f" coordsize="21600,21600" o:gfxdata="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AFia6S1QAAAAoBAAAPAAAAAAAAAAEAIAAAADgA&#10;AABkcnMvZG93bnJldi54bWxQSwECFAAUAAAACACHTuJAxfbhwPYBAAD3AwAADgAAAAAAAAABACAA&#10;AAA6AQAAZHJzL2Uyb0RvYy54bWxQSwUGAAAAAAYABgBZAQAAogUAAAAA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0" b="0"/>
                      <wp:wrapNone/>
                      <wp:docPr id="1657628593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LB" o:spid="_x0000_s1026" o:spt="1" style="position:absolute;left:0pt;margin-left:193.3pt;margin-top:20.15pt;height:24pt;width:100pt;z-index:-251654144;mso-width-relative:page;mso-height-relative:page;" fillcolor="#FFFFFF" filled="t" stroked="f" coordsize="21600,21600" o:gfxdata="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BYAAABkcnMvUEsBAhQAFAAAAAgAh07iQAPhi+XWAAAACQEAAA8AAAAAAAAAAQAgAAAA&#10;OAAAAGRycy9kb3ducmV2LnhtbFBLAQIUABQAAAAIAIdO4kA1txA69wEAAPkDAAAOAAAAAAAAAAEA&#10;IAAAADsBAABkcnMvZTJvRG9jLnhtbFBLBQYAAAAABgAGAFkBAACk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LB"/>
                  <w:enabled/>
                  <w:calcOnExit w:val="0"/>
                  <w:ddList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12" w:name="LB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12"/>
          </w:p>
        </w:tc>
      </w:tr>
      <w:t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67"/>
              <w:framePr w:wrap="around"/>
            </w:pPr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bookmarkStart w:id="13" w:name="WCRQ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13"/>
          </w:p>
        </w:tc>
      </w:tr>
    </w:tbl>
    <w:p>
      <w:pPr>
        <w:pStyle w:val="123"/>
        <w:framePr w:wrap="around"/>
      </w:pPr>
      <w:r>
        <w:rPr>
          <w:rFonts w:asci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bookmarkStart w:id="14" w:name="FY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bookmarkStart w:id="15" w:name="FD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5"/>
      <w:r>
        <w:rPr>
          <w:rFonts w:hint="eastAsia"/>
        </w:rPr>
        <w:t>发布</w:t>
      </w:r>
      <w: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0" r="1270" b="0"/>
                <wp:wrapNone/>
                <wp:docPr id="1223407927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" o:spid="_x0000_s1026" o:spt="20" style="position:absolute;left:0pt;margin-left:-0.05pt;margin-top:728.5pt;height:0pt;width:481.9pt;mso-position-vertical-relative:page;z-index:251659264;mso-width-relative:page;mso-height-relative:page;" filled="f" stroked="t" coordsize="21600,21600" o:gfxdata="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BYA&#10;AABkcnMvUEsBAhQAFAAAAAgAh07iQCWHazzWAAAACwEAAA8AAAAAAAAAAQAgAAAAOAAAAGRycy9k&#10;b3ducmV2LnhtbFBLAQIUABQAAAAIAIdO4kB+QGzntQEAAHcDAAAOAAAAAAAAAAEAIAAAADs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pStyle w:val="124"/>
        <w:framePr w:wrap="around"/>
      </w:pPr>
      <w:r>
        <w:rPr>
          <w:rFonts w:asci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bookmarkStart w:id="16" w:name="SY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6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bookmarkStart w:id="17" w:name="SM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7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bookmarkStart w:id="18" w:name="SD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8"/>
      <w:r>
        <w:rPr>
          <w:rFonts w:hint="eastAsia"/>
        </w:rPr>
        <w:t>实施</w:t>
      </w:r>
    </w:p>
    <w:p>
      <w:pPr>
        <w:pStyle w:val="103"/>
        <w:framePr w:wrap="around"/>
      </w:pPr>
      <w:r>
        <w:fldChar w:fldCharType="begin">
          <w:ffData>
            <w:name w:val="fm"/>
            <w:enabled/>
            <w:calcOnExit w:val="0"/>
            <w:textInput/>
          </w:ffData>
        </w:fldChar>
      </w:r>
      <w:bookmarkStart w:id="19" w:name="fm"/>
      <w:r>
        <w:instrText xml:space="preserve"> FORMTEXT </w:instrText>
      </w:r>
      <w:r>
        <w:fldChar w:fldCharType="separate"/>
      </w:r>
      <w:r>
        <w:rPr>
          <w:rFonts w:hint="eastAsia"/>
        </w:rPr>
        <w:t>昆明七彩云南庆沣祥茶业股份有限公司</w:t>
      </w:r>
      <w:r>
        <w:fldChar w:fldCharType="end"/>
      </w:r>
      <w:bookmarkEnd w:id="19"/>
      <w:r>
        <w:rPr>
          <w:rFonts w:hAnsi="黑体"/>
        </w:rPr>
        <w:t>   </w:t>
      </w:r>
      <w:r>
        <w:rPr>
          <w:rStyle w:val="58"/>
          <w:rFonts w:hint="eastAsia"/>
        </w:rPr>
        <w:t>发布</w:t>
      </w:r>
    </w:p>
    <w:p>
      <w:pPr>
        <w:pStyle w:val="14"/>
        <w:sectPr>
          <w:pgSz w:w="11906" w:h="16838"/>
          <w:pgMar w:top="567" w:right="850" w:bottom="1134" w:left="1418" w:header="0" w:footer="0" w:gutter="0"/>
          <w:pgNumType w:start="1"/>
          <w:cols w:space="425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0" t="0" r="1270" b="0"/>
                <wp:wrapNone/>
                <wp:docPr id="1464882651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-0.05pt;margin-top:184.25pt;height:0pt;width:481.9pt;z-index:251660288;mso-width-relative:page;mso-height-relative:page;" filled="f" stroked="t" coordsize="21600,21600" o:gfxdata="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QkHiX9cAAAAJAQAADwAAAAAAAAABACAAAAA4AAAAZHJz&#10;L2Rvd25yZXYueG1sUEsBAhQAFAAAAAgAh07iQBt5q662AQAAdwMAAA4AAAAAAAAAAQAgAAAAP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104"/>
      </w:pPr>
      <w:r>
        <w:rPr>
          <w:rFonts w:hint="eastAsia"/>
        </w:rPr>
        <w:t>前</w:t>
      </w:r>
      <w:bookmarkStart w:id="20" w:name="BKQY"/>
      <w:r>
        <w:rPr>
          <w:rFonts w:hAnsi="黑体"/>
        </w:rPr>
        <w:t>  </w:t>
      </w:r>
      <w:r>
        <w:rPr>
          <w:rFonts w:hint="eastAsia"/>
        </w:rPr>
        <w:t>言</w:t>
      </w:r>
      <w:bookmarkEnd w:id="20"/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我公司生产的年份普洱茶，是以符合GB/T 22111《地理标志产品 普洱茶》要求的普洱茶为原料，经藏养陈化等工艺制作而成，藏养陈化时间不低于10年，具备“陈醇润甘” 品质特征的产品。根据相关法律法规特制订本标准，作为企业组织生产、质量检验、交货验收和质量仲裁的依据。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本文件按照</w:t>
      </w:r>
      <w:r>
        <w:rPr>
          <w:sz w:val="24"/>
        </w:rPr>
        <w:t>GB 31608-2023</w:t>
      </w:r>
      <w:r>
        <w:rPr>
          <w:rFonts w:hint="eastAsia" w:ascii="宋体" w:hAnsi="宋体" w:cs="宋体"/>
          <w:sz w:val="24"/>
        </w:rPr>
        <w:t>《食品安全国家标准 茶叶》、</w:t>
      </w:r>
      <w:r>
        <w:rPr>
          <w:sz w:val="24"/>
        </w:rPr>
        <w:t>GB 2762-2022</w:t>
      </w:r>
      <w:r>
        <w:rPr>
          <w:rFonts w:hint="eastAsia" w:ascii="宋体" w:hAnsi="宋体" w:cs="宋体"/>
          <w:sz w:val="24"/>
        </w:rPr>
        <w:t>《食品安全国家标准 食品中污染物限量》、</w:t>
      </w:r>
      <w:r>
        <w:rPr>
          <w:sz w:val="24"/>
        </w:rPr>
        <w:t>GB 2763-2021</w:t>
      </w:r>
      <w:r>
        <w:rPr>
          <w:rFonts w:hint="eastAsia" w:ascii="宋体" w:hAnsi="宋体" w:cs="宋体"/>
          <w:sz w:val="24"/>
        </w:rPr>
        <w:t>《食品安全国家标准 食品中农药最大残留限量》制定，其中铅指标严于食品安全国家标准，其余指标根据产品实际制定。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本文件的附录</w:t>
      </w:r>
      <w:r>
        <w:rPr>
          <w:rFonts w:hint="eastAsia"/>
          <w:sz w:val="24"/>
        </w:rPr>
        <w:t>A</w:t>
      </w:r>
      <w:r>
        <w:rPr>
          <w:rFonts w:hint="eastAsia" w:ascii="宋体" w:hAnsi="宋体" w:cs="宋体"/>
          <w:sz w:val="24"/>
        </w:rPr>
        <w:t>为规范性附录。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本标准由昆明七彩云南庆沣祥茶业股份有限公司提出并起草。</w:t>
      </w:r>
    </w:p>
    <w:p>
      <w:pPr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本标准主要起草人：田军、方良魁、李文顺、万云龙、魏聪、祝红昆、何青元、罗正刚、张黔生。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本文件历次发布情况： 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----</w:t>
      </w:r>
      <w:r>
        <w:rPr>
          <w:rFonts w:hint="eastAsia"/>
          <w:sz w:val="24"/>
        </w:rPr>
        <w:t>Q/QFX 0013 S-2014</w:t>
      </w:r>
      <w:r>
        <w:rPr>
          <w:rFonts w:hint="eastAsia" w:ascii="宋体" w:hAnsi="宋体" w:cs="宋体"/>
          <w:sz w:val="24"/>
        </w:rPr>
        <w:t>《普洱茶老茶）》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----</w:t>
      </w:r>
      <w:r>
        <w:rPr>
          <w:rFonts w:hint="eastAsia"/>
          <w:sz w:val="24"/>
        </w:rPr>
        <w:t>Q/QFX 0013 S-2017</w:t>
      </w:r>
      <w:r>
        <w:rPr>
          <w:rFonts w:hint="eastAsia" w:ascii="宋体" w:hAnsi="宋体" w:cs="宋体"/>
          <w:sz w:val="24"/>
        </w:rPr>
        <w:t>《普洱茶老茶）》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----</w:t>
      </w:r>
      <w:r>
        <w:rPr>
          <w:rFonts w:hint="eastAsia"/>
          <w:sz w:val="24"/>
        </w:rPr>
        <w:t>Q/QFX 0013 S-2019</w:t>
      </w:r>
      <w:r>
        <w:rPr>
          <w:rFonts w:hint="eastAsia" w:ascii="宋体" w:hAnsi="宋体" w:cs="宋体"/>
          <w:sz w:val="24"/>
        </w:rPr>
        <w:t>《普洱茶老茶）》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----</w:t>
      </w:r>
      <w:r>
        <w:rPr>
          <w:rFonts w:hint="eastAsia"/>
          <w:sz w:val="24"/>
        </w:rPr>
        <w:t>Q/QFX 0013 S-2021</w:t>
      </w:r>
      <w:r>
        <w:rPr>
          <w:rFonts w:hint="eastAsia" w:ascii="宋体" w:hAnsi="宋体" w:cs="宋体"/>
          <w:sz w:val="24"/>
        </w:rPr>
        <w:t>《茶叶（普洱茶）》</w:t>
      </w:r>
    </w:p>
    <w:p>
      <w:pPr>
        <w:pStyle w:val="14"/>
        <w:sectPr>
          <w:headerReference r:id="rId3" w:type="default"/>
          <w:footerReference r:id="rId4" w:type="default"/>
          <w:pgSz w:w="11906" w:h="16838"/>
          <w:pgMar w:top="567" w:right="1134" w:bottom="1134" w:left="1418" w:header="1418" w:footer="1134" w:gutter="0"/>
          <w:pgNumType w:fmt="upperRoman" w:start="1"/>
          <w:cols w:space="425" w:num="1"/>
          <w:formProt w:val="0"/>
          <w:docGrid w:type="lines" w:linePitch="312" w:charSpace="0"/>
        </w:sectPr>
      </w:pPr>
    </w:p>
    <w:p>
      <w:pPr>
        <w:pStyle w:val="35"/>
      </w:pPr>
      <w:r>
        <w:rPr>
          <w:rFonts w:hint="eastAsia"/>
        </w:rPr>
        <w:t>年</w:t>
      </w:r>
      <w:bookmarkStart w:id="21" w:name="StandardName"/>
      <w:r>
        <w:rPr>
          <w:rFonts w:hint="eastAsia"/>
        </w:rPr>
        <w:t>份普洱茶</w:t>
      </w:r>
      <w:bookmarkEnd w:id="21"/>
    </w:p>
    <w:p>
      <w:pPr>
        <w:pStyle w:val="30"/>
        <w:rPr>
          <w:rFonts w:hAnsi="黑体"/>
        </w:rPr>
      </w:pPr>
      <w:r>
        <w:rPr>
          <w:rFonts w:hint="eastAsia" w:hAnsi="黑体"/>
        </w:rPr>
        <w:t>范围</w:t>
      </w:r>
    </w:p>
    <w:p>
      <w:pPr>
        <w:pStyle w:val="14"/>
        <w:rPr>
          <w:rFonts w:hAnsi="宋体"/>
          <w:szCs w:val="21"/>
        </w:rPr>
      </w:pPr>
      <w:r>
        <w:rPr>
          <w:rFonts w:hint="eastAsia" w:hAnsi="宋体" w:cs="宋体"/>
          <w:szCs w:val="21"/>
        </w:rPr>
        <w:t>本标准规定了年份普洱茶的术语和定义、类型、实物标准样、技术要求、检验规则及标志、包装、运输、贮存</w:t>
      </w:r>
      <w:r>
        <w:rPr>
          <w:rFonts w:hint="eastAsia" w:hAnsi="宋体"/>
          <w:szCs w:val="21"/>
        </w:rPr>
        <w:t>。</w:t>
      </w:r>
    </w:p>
    <w:p>
      <w:pPr>
        <w:pStyle w:val="14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本标准适用于符合GB/T 22111《地理标志产品 普洱茶》要求的普洱茶为原料，经藏养陈化等工艺制作而成，藏养陈化时间不低于10年，具备“陈醇润甘” 品质特征的年份普洱茶。</w:t>
      </w:r>
    </w:p>
    <w:p>
      <w:pPr>
        <w:pStyle w:val="14"/>
        <w:rPr>
          <w:szCs w:val="21"/>
        </w:rPr>
      </w:pPr>
    </w:p>
    <w:p>
      <w:pPr>
        <w:pStyle w:val="30"/>
        <w:rPr>
          <w:rFonts w:hAnsi="黑体"/>
          <w:szCs w:val="21"/>
        </w:rPr>
      </w:pPr>
      <w:r>
        <w:rPr>
          <w:rFonts w:hint="eastAsia" w:hAnsi="黑体"/>
          <w:szCs w:val="21"/>
        </w:rPr>
        <w:t>规范性引用文件</w:t>
      </w:r>
    </w:p>
    <w:p>
      <w:pPr>
        <w:pStyle w:val="14"/>
      </w:pPr>
      <w:r>
        <w:rPr>
          <w:rFonts w:hint="eastAsia"/>
          <w:szCs w:val="21"/>
        </w:rPr>
        <w:t>本标准中所列文件对于本文件的应用是必不可少的。凡是注日期的引用文件，仅所注日期的版本适用于本文件。凡是不注日期的引用文件，其最新版本（包括所有的修改单）适用于本文件</w:t>
      </w:r>
      <w:r>
        <w:rPr>
          <w:rFonts w:hint="eastAsia"/>
        </w:rPr>
        <w:t>。</w:t>
      </w:r>
    </w:p>
    <w:p>
      <w:pPr>
        <w:pStyle w:val="30"/>
        <w:rPr>
          <w:rFonts w:hAnsi="黑体"/>
        </w:rPr>
      </w:pPr>
      <w:r>
        <w:rPr>
          <w:rFonts w:hint="eastAsia" w:hAnsi="黑体"/>
        </w:rPr>
        <w:t>术语和定义</w:t>
      </w:r>
    </w:p>
    <w:p>
      <w:pPr>
        <w:pStyle w:val="30"/>
        <w:numPr>
          <w:ilvl w:val="0"/>
          <w:numId w:val="0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下列术语和定义适用于本标准。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年份普洱茶</w:t>
      </w:r>
    </w:p>
    <w:p>
      <w:pPr>
        <w:pStyle w:val="14"/>
        <w:rPr>
          <w:rFonts w:hAnsi="宋体"/>
          <w:szCs w:val="21"/>
        </w:rPr>
      </w:pPr>
      <w:r>
        <w:rPr>
          <w:rFonts w:hint="eastAsia" w:hAnsi="宋体"/>
          <w:szCs w:val="21"/>
        </w:rPr>
        <w:t>以符合</w:t>
      </w:r>
      <w:r>
        <w:rPr>
          <w:rFonts w:ascii="Times New Roman"/>
          <w:szCs w:val="21"/>
        </w:rPr>
        <w:t>GB/T 22111</w:t>
      </w:r>
      <w:r>
        <w:rPr>
          <w:rFonts w:hint="eastAsia" w:hAnsi="宋体"/>
          <w:szCs w:val="21"/>
        </w:rPr>
        <w:t>《地理标志产品 普洱茶》要求的普洱茶为原料，</w:t>
      </w:r>
      <w:r>
        <w:rPr>
          <w:rFonts w:hint="eastAsia" w:hAnsi="宋体" w:cs="宋体"/>
        </w:rPr>
        <w:t>经藏养陈化等工艺制作而成，藏养陈化时间不低于</w:t>
      </w:r>
      <w:r>
        <w:rPr>
          <w:rFonts w:ascii="Times New Roman"/>
        </w:rPr>
        <w:t>10</w:t>
      </w:r>
      <w:r>
        <w:rPr>
          <w:rFonts w:hint="eastAsia" w:hAnsi="宋体" w:cs="宋体"/>
        </w:rPr>
        <w:t>年，具备“陈醇润甘” 品质特征的产品。普洱茶藏养陈化时间的界定，以实物标准样对照感官审评为准。年份普洱茶分为年份普洱茶（生茶）、年份普洱茶（熟茶）</w:t>
      </w:r>
      <w:r>
        <w:rPr>
          <w:rFonts w:hint="eastAsia" w:hAnsi="宋体"/>
          <w:szCs w:val="21"/>
        </w:rPr>
        <w:t>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藏养陈化</w:t>
      </w:r>
    </w:p>
    <w:p>
      <w:pPr>
        <w:pStyle w:val="14"/>
        <w:rPr>
          <w:rFonts w:hAnsi="宋体"/>
        </w:rPr>
      </w:pPr>
      <w:r>
        <w:rPr>
          <w:rFonts w:hint="eastAsia" w:hAnsi="宋体"/>
          <w:szCs w:val="21"/>
        </w:rPr>
        <w:t>以符合</w:t>
      </w:r>
      <w:r>
        <w:rPr>
          <w:rFonts w:ascii="Times New Roman"/>
          <w:szCs w:val="21"/>
        </w:rPr>
        <w:t>GB/T 22111</w:t>
      </w:r>
      <w:r>
        <w:rPr>
          <w:rFonts w:hint="eastAsia" w:hAnsi="宋体"/>
          <w:szCs w:val="21"/>
        </w:rPr>
        <w:t>《地理标志产品 普洱茶》要求</w:t>
      </w:r>
      <w:r>
        <w:rPr>
          <w:rFonts w:hint="eastAsia" w:hAnsi="宋体" w:cs="宋体"/>
        </w:rPr>
        <w:t>的普洱茶为原料，一定年限陈化后，蒸散分解（或不蒸散分解），在特定环境下经一定年限二次陈化</w:t>
      </w:r>
      <w:r>
        <w:rPr>
          <w:rFonts w:hint="eastAsia" w:hAnsi="宋体"/>
        </w:rPr>
        <w:t>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10年</w:t>
      </w:r>
      <w:r>
        <w:rPr>
          <w:rFonts w:ascii="Cambria Math" w:hAnsi="Cambria Math" w:cs="Cambria Math"/>
        </w:rPr>
        <w:t>∼</w:t>
      </w:r>
      <w:r>
        <w:rPr>
          <w:rFonts w:hint="eastAsia" w:hAnsi="黑体"/>
        </w:rPr>
        <w:t>20年年份普洱茶</w:t>
      </w:r>
    </w:p>
    <w:p>
      <w:pPr>
        <w:pStyle w:val="14"/>
        <w:rPr>
          <w:rFonts w:hAnsi="宋体"/>
        </w:rPr>
      </w:pPr>
      <w:r>
        <w:rPr>
          <w:rFonts w:hint="eastAsia"/>
        </w:rPr>
        <w:t>藏养陈化10年∼20年（不含20年）的普洱茶。</w:t>
      </w:r>
    </w:p>
    <w:p>
      <w:pPr>
        <w:pStyle w:val="27"/>
      </w:pPr>
      <w:r>
        <w:rPr>
          <w:rFonts w:hint="eastAsia"/>
        </w:rPr>
        <w:t>20年</w:t>
      </w:r>
      <w:r>
        <w:rPr>
          <w:rFonts w:ascii="Cambria Math" w:hAnsi="Cambria Math" w:cs="Cambria Math"/>
        </w:rPr>
        <w:t>∼</w:t>
      </w:r>
      <w:r>
        <w:rPr>
          <w:rFonts w:hint="eastAsia"/>
        </w:rPr>
        <w:t>30年年份普洱茶</w:t>
      </w:r>
    </w:p>
    <w:p>
      <w:pPr>
        <w:pStyle w:val="14"/>
        <w:rPr>
          <w:rFonts w:hAnsi="宋体"/>
        </w:rPr>
      </w:pPr>
      <w:r>
        <w:rPr>
          <w:rFonts w:hint="eastAsia"/>
        </w:rPr>
        <w:t>藏养陈化</w:t>
      </w:r>
      <w:r>
        <w:rPr>
          <w:rFonts w:hint="eastAsia" w:ascii="Times New Roman"/>
        </w:rPr>
        <w:t>2</w:t>
      </w:r>
      <w:r>
        <w:rPr>
          <w:rFonts w:ascii="Times New Roman"/>
        </w:rPr>
        <w:t>0</w:t>
      </w:r>
      <w:r>
        <w:rPr>
          <w:rFonts w:hint="eastAsia"/>
        </w:rPr>
        <w:t>年∼30年（不含30年）的普洱茶。</w:t>
      </w:r>
    </w:p>
    <w:p>
      <w:pPr>
        <w:pStyle w:val="27"/>
      </w:pPr>
      <w:r>
        <w:rPr>
          <w:rFonts w:hint="eastAsia"/>
        </w:rPr>
        <w:t>30年以上年份普洱茶</w:t>
      </w:r>
    </w:p>
    <w:p>
      <w:pPr>
        <w:pStyle w:val="14"/>
        <w:rPr>
          <w:rFonts w:hAnsi="宋体"/>
        </w:rPr>
      </w:pPr>
      <w:r>
        <w:rPr>
          <w:rFonts w:hint="eastAsia"/>
        </w:rPr>
        <w:t>藏养陈化</w:t>
      </w:r>
      <w:r>
        <w:rPr>
          <w:rFonts w:hint="eastAsia" w:ascii="Times New Roman"/>
        </w:rPr>
        <w:t>30年以上</w:t>
      </w:r>
      <w:r>
        <w:rPr>
          <w:rFonts w:hint="eastAsia"/>
        </w:rPr>
        <w:t>的普洱茶。</w:t>
      </w:r>
    </w:p>
    <w:p>
      <w:pPr>
        <w:pStyle w:val="30"/>
        <w:rPr>
          <w:rFonts w:hAnsi="黑体"/>
          <w:szCs w:val="21"/>
        </w:rPr>
      </w:pPr>
      <w:r>
        <w:rPr>
          <w:rFonts w:hint="eastAsia" w:hAnsi="黑体"/>
          <w:szCs w:val="21"/>
        </w:rPr>
        <w:t>产品分类和实物标准样</w:t>
      </w:r>
    </w:p>
    <w:p>
      <w:pPr>
        <w:pStyle w:val="27"/>
        <w:rPr>
          <w:rFonts w:ascii="宋体" w:hAnsi="宋体" w:eastAsia="宋体"/>
          <w:sz w:val="24"/>
          <w:szCs w:val="24"/>
        </w:rPr>
      </w:pPr>
      <w:r>
        <w:rPr>
          <w:rFonts w:hint="eastAsia" w:hAnsi="黑体"/>
        </w:rPr>
        <w:t>按外观形态分为：</w:t>
      </w:r>
      <w:r>
        <w:rPr>
          <w:rFonts w:hint="eastAsia" w:ascii="宋体" w:hAnsi="宋体" w:eastAsia="宋体" w:cs="宋体"/>
        </w:rPr>
        <w:t>年份普洱茶紧压茶、年份普洱茶解散茶。</w:t>
      </w:r>
    </w:p>
    <w:p>
      <w:pPr>
        <w:pStyle w:val="27"/>
        <w:rPr>
          <w:rFonts w:ascii="宋体" w:hAnsi="宋体" w:eastAsia="宋体"/>
          <w:sz w:val="24"/>
          <w:szCs w:val="24"/>
        </w:rPr>
      </w:pPr>
      <w:r>
        <w:rPr>
          <w:rFonts w:hint="eastAsia" w:hAnsi="黑体"/>
        </w:rPr>
        <w:t>实物标准样：</w:t>
      </w:r>
      <w:r>
        <w:rPr>
          <w:rFonts w:hint="eastAsia" w:ascii="宋体" w:hAnsi="宋体" w:eastAsia="宋体"/>
        </w:rPr>
        <w:t>按照年份的品质要求，设置实物标准样，每三年更换一次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30"/>
        <w:rPr>
          <w:rFonts w:hAnsi="黑体"/>
        </w:rPr>
      </w:pPr>
      <w:r>
        <w:rPr>
          <w:rFonts w:hint="eastAsia" w:hAnsi="黑体"/>
        </w:rPr>
        <w:t>技术要求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基本要求</w:t>
      </w:r>
    </w:p>
    <w:p>
      <w:pPr>
        <w:pStyle w:val="14"/>
      </w:pPr>
      <w:r>
        <w:rPr>
          <w:rFonts w:hint="eastAsia"/>
        </w:rPr>
        <w:t>具有年份普洱茶正常的品质特征，不</w:t>
      </w:r>
      <w:r>
        <w:rPr>
          <w:rFonts w:hint="eastAsia" w:hAnsi="宋体" w:cs="宋体"/>
        </w:rPr>
        <w:t>含非茶类物质和添加剂，无异味、无异嗅、无霉变、无劣变。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加工工艺</w:t>
      </w:r>
    </w:p>
    <w:p>
      <w:pPr>
        <w:pStyle w:val="48"/>
        <w:rPr>
          <w:rFonts w:hAnsi="宋体"/>
        </w:rPr>
      </w:pPr>
      <w:r>
        <w:rPr>
          <w:rFonts w:hint="eastAsia" w:ascii="黑体" w:hAnsi="黑体" w:eastAsia="黑体"/>
        </w:rPr>
        <w:t>年份普洱茶（生茶）紧压茶</w:t>
      </w:r>
      <w:r>
        <w:rPr>
          <w:rFonts w:hint="eastAsia" w:hAnsi="宋体"/>
        </w:rPr>
        <w:t>：</w:t>
      </w:r>
    </w:p>
    <w:p>
      <w:pPr>
        <w:pStyle w:val="48"/>
        <w:numPr>
          <w:ilvl w:val="2"/>
          <w:numId w:val="0"/>
        </w:numPr>
        <w:ind w:firstLine="630" w:firstLineChars="300"/>
        <w:rPr>
          <w:rFonts w:hAnsi="宋体"/>
        </w:rPr>
      </w:pPr>
      <w:r>
        <w:rPr>
          <w:rFonts w:hint="eastAsia" w:hAnsi="宋体"/>
        </w:rPr>
        <w:t>普洱茶（生茶）紧压茶→藏养陈化→包装</w:t>
      </w:r>
      <w:r>
        <w:rPr>
          <w:rFonts w:hint="eastAsia" w:hAnsi="宋体"/>
          <w:sz w:val="24"/>
          <w:szCs w:val="24"/>
        </w:rPr>
        <w:t>。</w:t>
      </w:r>
    </w:p>
    <w:p>
      <w:pPr>
        <w:pStyle w:val="48"/>
        <w:rPr>
          <w:rFonts w:hAnsi="宋体"/>
        </w:rPr>
      </w:pPr>
      <w:r>
        <w:rPr>
          <w:rFonts w:hint="eastAsia" w:ascii="黑体" w:hAnsi="黑体" w:eastAsia="黑体"/>
        </w:rPr>
        <w:t>年份普洱茶（生茶）解散茶</w:t>
      </w:r>
      <w:r>
        <w:rPr>
          <w:rFonts w:hint="eastAsia" w:hAnsi="宋体"/>
        </w:rPr>
        <w:t>：</w:t>
      </w:r>
    </w:p>
    <w:p>
      <w:pPr>
        <w:pStyle w:val="48"/>
        <w:numPr>
          <w:ilvl w:val="2"/>
          <w:numId w:val="0"/>
        </w:numPr>
        <w:ind w:firstLine="630" w:firstLineChars="300"/>
        <w:rPr>
          <w:rFonts w:hAnsi="宋体"/>
        </w:rPr>
      </w:pPr>
      <w:r>
        <w:rPr>
          <w:rFonts w:hint="eastAsia" w:hAnsi="宋体"/>
        </w:rPr>
        <w:t>普洱茶（生茶）紧压茶→藏养陈化（陈化→解散→陈化）→包装</w:t>
      </w:r>
      <w:r>
        <w:rPr>
          <w:rFonts w:hint="eastAsia" w:hAnsi="宋体"/>
          <w:sz w:val="24"/>
          <w:szCs w:val="24"/>
        </w:rPr>
        <w:t>。</w:t>
      </w:r>
    </w:p>
    <w:p>
      <w:pPr>
        <w:pStyle w:val="48"/>
        <w:rPr>
          <w:rFonts w:hAnsi="宋体"/>
        </w:rPr>
      </w:pPr>
      <w:r>
        <w:rPr>
          <w:rFonts w:hint="eastAsia" w:ascii="黑体" w:hAnsi="黑体" w:eastAsia="黑体"/>
        </w:rPr>
        <w:t>年份普洱茶（熟茶）紧压茶</w:t>
      </w:r>
      <w:r>
        <w:rPr>
          <w:rFonts w:hint="eastAsia" w:hAnsi="宋体"/>
        </w:rPr>
        <w:t>：</w:t>
      </w:r>
    </w:p>
    <w:p>
      <w:pPr>
        <w:pStyle w:val="48"/>
        <w:numPr>
          <w:ilvl w:val="2"/>
          <w:numId w:val="0"/>
        </w:numPr>
        <w:ind w:firstLine="630" w:firstLineChars="300"/>
        <w:rPr>
          <w:rFonts w:hAnsi="宋体"/>
        </w:rPr>
      </w:pPr>
      <w:r>
        <w:rPr>
          <w:rFonts w:hint="eastAsia" w:hAnsi="宋体"/>
        </w:rPr>
        <w:t>普洱茶（熟茶）紧压茶→藏养陈化→包装。</w:t>
      </w:r>
    </w:p>
    <w:p>
      <w:pPr>
        <w:pStyle w:val="48"/>
        <w:rPr>
          <w:rFonts w:hAnsi="宋体"/>
        </w:rPr>
      </w:pPr>
      <w:r>
        <w:rPr>
          <w:rFonts w:hint="eastAsia" w:ascii="黑体" w:hAnsi="黑体" w:eastAsia="黑体"/>
        </w:rPr>
        <w:t>年份普洱茶（熟茶）解散茶</w:t>
      </w:r>
      <w:r>
        <w:rPr>
          <w:rFonts w:hint="eastAsia" w:hAnsi="宋体"/>
        </w:rPr>
        <w:t>：</w:t>
      </w:r>
    </w:p>
    <w:p>
      <w:pPr>
        <w:pStyle w:val="48"/>
        <w:numPr>
          <w:ilvl w:val="2"/>
          <w:numId w:val="0"/>
        </w:numPr>
        <w:ind w:firstLine="630" w:firstLineChars="300"/>
        <w:rPr>
          <w:rFonts w:hAnsi="宋体"/>
        </w:rPr>
      </w:pPr>
      <w:r>
        <w:rPr>
          <w:rFonts w:hint="eastAsia" w:hAnsi="宋体"/>
        </w:rPr>
        <w:t>普洱茶（熟茶）紧压茶→藏养陈化（陈化→解散→陈化）→包装</w:t>
      </w:r>
      <w:r>
        <w:rPr>
          <w:rFonts w:hint="eastAsia" w:hAnsi="宋体"/>
          <w:sz w:val="24"/>
          <w:szCs w:val="24"/>
        </w:rPr>
        <w:t>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感官要求</w:t>
      </w:r>
    </w:p>
    <w:p>
      <w:pPr>
        <w:pStyle w:val="27"/>
        <w:numPr>
          <w:ilvl w:val="1"/>
          <w:numId w:val="0"/>
        </w:numPr>
        <w:rPr>
          <w:rFonts w:hAnsi="黑体"/>
        </w:rPr>
      </w:pPr>
      <w:r>
        <w:rPr>
          <w:rFonts w:hint="eastAsia" w:hAnsi="黑体"/>
        </w:rPr>
        <w:t>5.3.1</w:t>
      </w:r>
      <w:r>
        <w:rPr>
          <w:rFonts w:hAnsi="黑体"/>
        </w:rPr>
        <w:t xml:space="preserve"> </w:t>
      </w:r>
      <w:r>
        <w:rPr>
          <w:rFonts w:hint="eastAsia" w:hAnsi="黑体" w:cs="黑体"/>
        </w:rPr>
        <w:t>10年</w:t>
      </w:r>
      <w:r>
        <w:rPr>
          <w:rFonts w:ascii="Cambria Math" w:hAnsi="Cambria Math" w:cs="Cambria Math"/>
        </w:rPr>
        <w:t>∼</w:t>
      </w:r>
      <w:r>
        <w:rPr>
          <w:rFonts w:hint="eastAsia" w:hAnsi="黑体" w:cs="黑体"/>
        </w:rPr>
        <w:t>20年年份普洱茶</w:t>
      </w:r>
      <w:r>
        <w:rPr>
          <w:rFonts w:hint="eastAsia" w:hAnsi="黑体"/>
        </w:rPr>
        <w:t>（生茶）</w:t>
      </w:r>
    </w:p>
    <w:p>
      <w:pPr>
        <w:pStyle w:val="27"/>
        <w:numPr>
          <w:ilvl w:val="0"/>
          <w:numId w:val="0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应符合表1规定。</w:t>
      </w:r>
    </w:p>
    <w:p>
      <w:pPr>
        <w:pStyle w:val="119"/>
        <w:rPr>
          <w:rFonts w:hAnsi="黑体" w:cs="黑体"/>
        </w:rPr>
      </w:pPr>
      <w:r>
        <w:rPr>
          <w:rFonts w:hint="eastAsia" w:hAnsi="黑体" w:cs="黑体"/>
        </w:rPr>
        <w:t>10年</w:t>
      </w:r>
      <w:r>
        <w:rPr>
          <w:rFonts w:ascii="Cambria Math" w:hAnsi="Cambria Math" w:cs="Cambria Math"/>
        </w:rPr>
        <w:t>∼</w:t>
      </w:r>
      <w:r>
        <w:rPr>
          <w:rFonts w:hint="eastAsia" w:hAnsi="黑体" w:cs="黑体"/>
        </w:rPr>
        <w:t>20年年份普洱茶（生茶）的感官要求</w:t>
      </w:r>
    </w:p>
    <w:tbl>
      <w:tblPr>
        <w:tblStyle w:val="19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208"/>
        <w:gridCol w:w="1208"/>
        <w:gridCol w:w="1208"/>
        <w:gridCol w:w="1209"/>
        <w:gridCol w:w="1209"/>
        <w:gridCol w:w="1209"/>
      </w:tblGrid>
      <w:tr>
        <w:trPr>
          <w:trHeight w:val="335" w:hRule="atLeast"/>
          <w:jc w:val="center"/>
        </w:trPr>
        <w:tc>
          <w:tcPr>
            <w:tcW w:w="2416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外形</w:t>
            </w:r>
          </w:p>
        </w:tc>
        <w:tc>
          <w:tcPr>
            <w:tcW w:w="4834" w:type="dxa"/>
            <w:gridSpan w:val="4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内质</w:t>
            </w:r>
          </w:p>
        </w:tc>
        <w:tc>
          <w:tcPr>
            <w:tcW w:w="1209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rPr>
          <w:trHeight w:val="335" w:hRule="atLeast"/>
          <w:jc w:val="center"/>
        </w:trPr>
        <w:tc>
          <w:tcPr>
            <w:tcW w:w="1208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外观</w:t>
            </w:r>
          </w:p>
        </w:tc>
        <w:tc>
          <w:tcPr>
            <w:tcW w:w="1208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色泽</w:t>
            </w:r>
          </w:p>
        </w:tc>
        <w:tc>
          <w:tcPr>
            <w:tcW w:w="1208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汤色</w:t>
            </w:r>
          </w:p>
        </w:tc>
        <w:tc>
          <w:tcPr>
            <w:tcW w:w="1208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香气</w:t>
            </w:r>
          </w:p>
        </w:tc>
        <w:tc>
          <w:tcPr>
            <w:tcW w:w="1209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滋味</w:t>
            </w:r>
          </w:p>
        </w:tc>
        <w:tc>
          <w:tcPr>
            <w:tcW w:w="1209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叶底</w:t>
            </w:r>
          </w:p>
        </w:tc>
        <w:tc>
          <w:tcPr>
            <w:tcW w:w="1209" w:type="dxa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1208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条索肥壮紧结、油润、显毫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墨绿泛黄褐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橙黄透亮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香气馥郁、显陈香，透花蜜香</w:t>
            </w:r>
          </w:p>
        </w:tc>
        <w:tc>
          <w:tcPr>
            <w:tcW w:w="1209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浓强饱满、回甘，富收敛性，显木质味</w:t>
            </w:r>
          </w:p>
        </w:tc>
        <w:tc>
          <w:tcPr>
            <w:tcW w:w="1209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绿黄肥嫩、匀亮、柔软</w:t>
            </w:r>
          </w:p>
        </w:tc>
        <w:tc>
          <w:tcPr>
            <w:tcW w:w="1209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111111"/>
                <w:sz w:val="18"/>
                <w:szCs w:val="18"/>
              </w:rPr>
              <w:t>按附录A审评方式执行</w:t>
            </w:r>
          </w:p>
        </w:tc>
      </w:tr>
    </w:tbl>
    <w:p>
      <w:pPr>
        <w:pStyle w:val="14"/>
        <w:ind w:firstLine="0" w:firstLineChars="0"/>
      </w:pPr>
    </w:p>
    <w:p>
      <w:pPr>
        <w:pStyle w:val="27"/>
        <w:numPr>
          <w:ilvl w:val="1"/>
          <w:numId w:val="0"/>
        </w:numPr>
        <w:rPr>
          <w:rFonts w:hAnsi="黑体"/>
        </w:rPr>
      </w:pPr>
      <w:r>
        <w:rPr>
          <w:rFonts w:hint="eastAsia" w:hAnsi="黑体"/>
        </w:rPr>
        <w:t>5.3.2</w:t>
      </w:r>
      <w:r>
        <w:rPr>
          <w:rFonts w:hAnsi="黑体"/>
        </w:rPr>
        <w:t xml:space="preserve"> </w:t>
      </w:r>
      <w:r>
        <w:rPr>
          <w:rFonts w:hint="eastAsia" w:hAnsi="黑体"/>
        </w:rPr>
        <w:t>20年</w:t>
      </w:r>
      <w:r>
        <w:rPr>
          <w:rFonts w:ascii="Cambria Math" w:hAnsi="Cambria Math" w:cs="Cambria Math"/>
        </w:rPr>
        <w:t>∼</w:t>
      </w:r>
      <w:r>
        <w:rPr>
          <w:rFonts w:hint="eastAsia" w:hAnsi="黑体"/>
        </w:rPr>
        <w:t>30年年份普洱茶（生茶）</w:t>
      </w:r>
    </w:p>
    <w:p>
      <w:pPr>
        <w:pStyle w:val="27"/>
        <w:numPr>
          <w:ilvl w:val="0"/>
          <w:numId w:val="0"/>
        </w:num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应符合表</w:t>
      </w:r>
      <w:r>
        <w:rPr>
          <w:rFonts w:ascii="Times New Roman" w:eastAsia="宋体"/>
        </w:rPr>
        <w:t>2</w:t>
      </w:r>
      <w:r>
        <w:rPr>
          <w:rFonts w:hint="eastAsia" w:ascii="宋体" w:hAnsi="宋体" w:eastAsia="宋体"/>
        </w:rPr>
        <w:t>的规定。</w:t>
      </w:r>
    </w:p>
    <w:p>
      <w:pPr>
        <w:pStyle w:val="119"/>
        <w:rPr>
          <w:rFonts w:hAnsi="黑体" w:cs="黑体"/>
        </w:rPr>
      </w:pPr>
      <w:r>
        <w:rPr>
          <w:rFonts w:hint="eastAsia" w:hAnsi="黑体" w:cs="黑体"/>
        </w:rPr>
        <w:t>20年</w:t>
      </w:r>
      <w:r>
        <w:rPr>
          <w:rFonts w:ascii="Cambria Math" w:hAnsi="Cambria Math" w:cs="Cambria Math"/>
        </w:rPr>
        <w:t>∼</w:t>
      </w:r>
      <w:r>
        <w:rPr>
          <w:rFonts w:hint="eastAsia" w:hAnsi="黑体" w:cs="黑体"/>
        </w:rPr>
        <w:t>30年年份普洱茶（生茶）的感官要求</w:t>
      </w:r>
    </w:p>
    <w:tbl>
      <w:tblPr>
        <w:tblStyle w:val="19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999"/>
        <w:gridCol w:w="1362"/>
        <w:gridCol w:w="1374"/>
        <w:gridCol w:w="1491"/>
        <w:gridCol w:w="1002"/>
        <w:gridCol w:w="1245"/>
      </w:tblGrid>
      <w:tr>
        <w:trPr>
          <w:trHeight w:val="300" w:hRule="atLeast"/>
          <w:jc w:val="center"/>
        </w:trPr>
        <w:tc>
          <w:tcPr>
            <w:tcW w:w="2107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外形</w:t>
            </w:r>
          </w:p>
        </w:tc>
        <w:tc>
          <w:tcPr>
            <w:tcW w:w="5229" w:type="dxa"/>
            <w:gridSpan w:val="4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内质</w:t>
            </w:r>
          </w:p>
        </w:tc>
        <w:tc>
          <w:tcPr>
            <w:tcW w:w="1245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rPr>
          <w:trHeight w:val="300" w:hRule="atLeast"/>
          <w:jc w:val="center"/>
        </w:trPr>
        <w:tc>
          <w:tcPr>
            <w:tcW w:w="1108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外观</w:t>
            </w:r>
          </w:p>
        </w:tc>
        <w:tc>
          <w:tcPr>
            <w:tcW w:w="999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色泽</w:t>
            </w:r>
          </w:p>
        </w:tc>
        <w:tc>
          <w:tcPr>
            <w:tcW w:w="1362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汤色</w:t>
            </w:r>
          </w:p>
        </w:tc>
        <w:tc>
          <w:tcPr>
            <w:tcW w:w="137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香气</w:t>
            </w:r>
          </w:p>
        </w:tc>
        <w:tc>
          <w:tcPr>
            <w:tcW w:w="1491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滋味</w:t>
            </w:r>
          </w:p>
        </w:tc>
        <w:tc>
          <w:tcPr>
            <w:tcW w:w="1002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叶底</w:t>
            </w:r>
          </w:p>
        </w:tc>
        <w:tc>
          <w:tcPr>
            <w:tcW w:w="1245" w:type="dxa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</w:tr>
      <w:tr>
        <w:trPr>
          <w:trHeight w:val="214" w:hRule="atLeast"/>
          <w:jc w:val="center"/>
        </w:trPr>
        <w:tc>
          <w:tcPr>
            <w:tcW w:w="1108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条索肥硕紧实、油润、显毫</w:t>
            </w:r>
          </w:p>
        </w:tc>
        <w:tc>
          <w:tcPr>
            <w:tcW w:w="999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墨绿泛褐</w:t>
            </w:r>
          </w:p>
        </w:tc>
        <w:tc>
          <w:tcPr>
            <w:tcW w:w="136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橙黄油亮</w:t>
            </w:r>
          </w:p>
        </w:tc>
        <w:tc>
          <w:tcPr>
            <w:tcW w:w="1374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香气馥郁、陈香显，透木质香，含花蜜香</w:t>
            </w:r>
          </w:p>
        </w:tc>
        <w:tc>
          <w:tcPr>
            <w:tcW w:w="1491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浓强饱满、回甘，收敛性强，后韵足，木质味显著</w:t>
            </w:r>
          </w:p>
        </w:tc>
        <w:tc>
          <w:tcPr>
            <w:tcW w:w="100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褐黄、肥嫩、匀亮柔软</w:t>
            </w:r>
          </w:p>
        </w:tc>
        <w:tc>
          <w:tcPr>
            <w:tcW w:w="1245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111111"/>
                <w:sz w:val="18"/>
                <w:szCs w:val="18"/>
              </w:rPr>
              <w:t>按附录A审评方式执行</w:t>
            </w:r>
          </w:p>
        </w:tc>
      </w:tr>
    </w:tbl>
    <w:p>
      <w:pPr>
        <w:rPr>
          <w:rFonts w:ascii="黑体" w:hAnsi="黑体" w:eastAsia="黑体"/>
        </w:rPr>
      </w:pPr>
    </w:p>
    <w:p>
      <w:pPr>
        <w:pStyle w:val="48"/>
        <w:numPr>
          <w:ilvl w:val="2"/>
          <w:numId w:val="0"/>
        </w:numPr>
      </w:pPr>
      <w:r>
        <w:rPr>
          <w:rFonts w:hint="eastAsia" w:ascii="黑体" w:hAnsi="黑体" w:eastAsia="黑体" w:cs="宋体"/>
        </w:rPr>
        <w:t>5.3.3</w:t>
      </w:r>
      <w:r>
        <w:rPr>
          <w:rFonts w:ascii="黑体" w:hAnsi="黑体" w:eastAsia="黑体" w:cs="宋体"/>
        </w:rPr>
        <w:t xml:space="preserve"> </w:t>
      </w:r>
      <w:r>
        <w:rPr>
          <w:rFonts w:hint="eastAsia" w:ascii="黑体" w:hAnsi="黑体" w:eastAsia="黑体" w:cs="宋体"/>
        </w:rPr>
        <w:t>30年以上年份普洱茶（生茶）</w:t>
      </w:r>
    </w:p>
    <w:p>
      <w:pPr>
        <w:pStyle w:val="48"/>
        <w:numPr>
          <w:ilvl w:val="0"/>
          <w:numId w:val="0"/>
        </w:numPr>
        <w:ind w:firstLine="420" w:firstLineChars="200"/>
      </w:pPr>
      <w:r>
        <w:rPr>
          <w:rFonts w:hint="eastAsia"/>
        </w:rPr>
        <w:t>应符合表</w:t>
      </w:r>
      <w:r>
        <w:rPr>
          <w:rFonts w:ascii="Times New Roman"/>
        </w:rPr>
        <w:t>3</w:t>
      </w:r>
      <w:r>
        <w:rPr>
          <w:rFonts w:hint="eastAsia"/>
        </w:rPr>
        <w:t>的规定。</w:t>
      </w:r>
    </w:p>
    <w:p>
      <w:pPr>
        <w:pStyle w:val="119"/>
      </w:pPr>
      <w:r>
        <w:rPr>
          <w:rFonts w:hint="eastAsia"/>
        </w:rPr>
        <w:t>30年以上年份普洱茶（生茶）的感官要求</w:t>
      </w:r>
    </w:p>
    <w:tbl>
      <w:tblPr>
        <w:tblStyle w:val="19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202"/>
        <w:gridCol w:w="1085"/>
        <w:gridCol w:w="1210"/>
        <w:gridCol w:w="1312"/>
        <w:gridCol w:w="1204"/>
        <w:gridCol w:w="1203"/>
      </w:tblGrid>
      <w:tr>
        <w:trPr>
          <w:trHeight w:val="318" w:hRule="atLeast"/>
          <w:jc w:val="center"/>
        </w:trPr>
        <w:tc>
          <w:tcPr>
            <w:tcW w:w="2404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外形</w:t>
            </w:r>
          </w:p>
        </w:tc>
        <w:tc>
          <w:tcPr>
            <w:tcW w:w="4811" w:type="dxa"/>
            <w:gridSpan w:val="4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内质</w:t>
            </w:r>
          </w:p>
        </w:tc>
        <w:tc>
          <w:tcPr>
            <w:tcW w:w="1203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rPr>
          <w:trHeight w:val="318" w:hRule="atLeast"/>
          <w:jc w:val="center"/>
        </w:trPr>
        <w:tc>
          <w:tcPr>
            <w:tcW w:w="1202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外观</w:t>
            </w:r>
          </w:p>
        </w:tc>
        <w:tc>
          <w:tcPr>
            <w:tcW w:w="1202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色泽</w:t>
            </w:r>
          </w:p>
        </w:tc>
        <w:tc>
          <w:tcPr>
            <w:tcW w:w="1085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汤色</w:t>
            </w:r>
          </w:p>
        </w:tc>
        <w:tc>
          <w:tcPr>
            <w:tcW w:w="1210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香气</w:t>
            </w:r>
          </w:p>
        </w:tc>
        <w:tc>
          <w:tcPr>
            <w:tcW w:w="1312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滋味</w:t>
            </w:r>
          </w:p>
        </w:tc>
        <w:tc>
          <w:tcPr>
            <w:tcW w:w="120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叶底</w:t>
            </w:r>
          </w:p>
        </w:tc>
        <w:tc>
          <w:tcPr>
            <w:tcW w:w="1203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</w:tr>
      <w:tr>
        <w:trPr>
          <w:trHeight w:val="1230" w:hRule="atLeast"/>
          <w:jc w:val="center"/>
        </w:trPr>
        <w:tc>
          <w:tcPr>
            <w:tcW w:w="120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条索肥壮紧结、显毫</w:t>
            </w:r>
          </w:p>
        </w:tc>
        <w:tc>
          <w:tcPr>
            <w:tcW w:w="120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乌褐油亮</w:t>
            </w:r>
          </w:p>
        </w:tc>
        <w:tc>
          <w:tcPr>
            <w:tcW w:w="1085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红艳透亮</w:t>
            </w:r>
          </w:p>
        </w:tc>
        <w:tc>
          <w:tcPr>
            <w:tcW w:w="1210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陈香馥郁、显木质香，含参香</w:t>
            </w:r>
          </w:p>
        </w:tc>
        <w:tc>
          <w:tcPr>
            <w:tcW w:w="131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浓厚回甘、后韵悠长，强烈的木质味，含参香味</w:t>
            </w:r>
          </w:p>
        </w:tc>
        <w:tc>
          <w:tcPr>
            <w:tcW w:w="1204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30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黄褐、肥壮、匀亮</w:t>
            </w:r>
          </w:p>
        </w:tc>
        <w:tc>
          <w:tcPr>
            <w:tcW w:w="120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111111"/>
                <w:sz w:val="18"/>
                <w:szCs w:val="18"/>
              </w:rPr>
              <w:t>按附录A审评方式执行</w:t>
            </w:r>
          </w:p>
        </w:tc>
      </w:tr>
    </w:tbl>
    <w:p>
      <w:pPr>
        <w:pStyle w:val="14"/>
      </w:pPr>
    </w:p>
    <w:p>
      <w:pPr>
        <w:pStyle w:val="48"/>
        <w:numPr>
          <w:ilvl w:val="2"/>
          <w:numId w:val="0"/>
        </w:num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5.3.4</w:t>
      </w:r>
      <w:r>
        <w:rPr>
          <w:rFonts w:ascii="黑体" w:hAnsi="黑体" w:eastAsia="黑体"/>
        </w:rPr>
        <w:t xml:space="preserve"> </w:t>
      </w:r>
      <w:r>
        <w:rPr>
          <w:rFonts w:hint="eastAsia" w:ascii="黑体" w:hAnsi="黑体" w:eastAsia="黑体"/>
        </w:rPr>
        <w:t>10年</w:t>
      </w:r>
      <w:r>
        <w:rPr>
          <w:rFonts w:ascii="Cambria Math" w:hAnsi="Cambria Math" w:eastAsia="黑体" w:cs="Cambria Math"/>
        </w:rPr>
        <w:t>∼</w:t>
      </w:r>
      <w:r>
        <w:rPr>
          <w:rFonts w:hint="eastAsia" w:ascii="黑体" w:hAnsi="黑体" w:eastAsia="黑体"/>
        </w:rPr>
        <w:t>20年年份普洱茶（熟茶）</w:t>
      </w:r>
    </w:p>
    <w:p>
      <w:pPr>
        <w:pStyle w:val="48"/>
        <w:numPr>
          <w:ilvl w:val="0"/>
          <w:numId w:val="0"/>
        </w:numPr>
      </w:pPr>
      <w:r>
        <w:rPr>
          <w:rFonts w:hint="eastAsia"/>
        </w:rPr>
        <w:t xml:space="preserve">    应符合表</w:t>
      </w:r>
      <w:r>
        <w:rPr>
          <w:rFonts w:ascii="Times New Roman"/>
        </w:rPr>
        <w:t>4</w:t>
      </w:r>
      <w:r>
        <w:rPr>
          <w:rFonts w:hint="eastAsia"/>
        </w:rPr>
        <w:t>的规定。</w:t>
      </w:r>
    </w:p>
    <w:p>
      <w:pPr>
        <w:pStyle w:val="119"/>
      </w:pPr>
      <w:r>
        <w:rPr>
          <w:rFonts w:hint="eastAsia"/>
        </w:rPr>
        <w:t>10年</w:t>
      </w:r>
      <w:r>
        <w:rPr>
          <w:rFonts w:ascii="Cambria Math" w:hAnsi="Cambria Math" w:cs="Cambria Math"/>
        </w:rPr>
        <w:t>∼</w:t>
      </w:r>
      <w:r>
        <w:rPr>
          <w:rFonts w:hint="eastAsia"/>
        </w:rPr>
        <w:t>20年年份普洱茶（熟茶）的感官要求</w:t>
      </w:r>
    </w:p>
    <w:tbl>
      <w:tblPr>
        <w:tblStyle w:val="19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208"/>
        <w:gridCol w:w="1208"/>
        <w:gridCol w:w="1208"/>
        <w:gridCol w:w="1209"/>
        <w:gridCol w:w="1209"/>
        <w:gridCol w:w="1209"/>
      </w:tblGrid>
      <w:tr>
        <w:trPr>
          <w:jc w:val="center"/>
        </w:trPr>
        <w:tc>
          <w:tcPr>
            <w:tcW w:w="2416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外形</w:t>
            </w:r>
          </w:p>
        </w:tc>
        <w:tc>
          <w:tcPr>
            <w:tcW w:w="4834" w:type="dxa"/>
            <w:gridSpan w:val="4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内质</w:t>
            </w:r>
          </w:p>
        </w:tc>
        <w:tc>
          <w:tcPr>
            <w:tcW w:w="1209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rPr>
          <w:jc w:val="center"/>
        </w:trPr>
        <w:tc>
          <w:tcPr>
            <w:tcW w:w="1208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外观</w:t>
            </w:r>
          </w:p>
        </w:tc>
        <w:tc>
          <w:tcPr>
            <w:tcW w:w="1208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色泽</w:t>
            </w:r>
          </w:p>
        </w:tc>
        <w:tc>
          <w:tcPr>
            <w:tcW w:w="1208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汤色</w:t>
            </w:r>
          </w:p>
        </w:tc>
        <w:tc>
          <w:tcPr>
            <w:tcW w:w="1208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香气</w:t>
            </w:r>
          </w:p>
        </w:tc>
        <w:tc>
          <w:tcPr>
            <w:tcW w:w="120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滋味</w:t>
            </w:r>
          </w:p>
        </w:tc>
        <w:tc>
          <w:tcPr>
            <w:tcW w:w="120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叶底</w:t>
            </w:r>
          </w:p>
        </w:tc>
        <w:tc>
          <w:tcPr>
            <w:tcW w:w="1209" w:type="dxa"/>
            <w:vMerge w:val="continue"/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</w:tr>
      <w:tr>
        <w:trPr>
          <w:jc w:val="center"/>
        </w:trPr>
        <w:tc>
          <w:tcPr>
            <w:tcW w:w="120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条索肥壮紧实、显毫</w:t>
            </w:r>
          </w:p>
        </w:tc>
        <w:tc>
          <w:tcPr>
            <w:tcW w:w="120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红褐润泽</w:t>
            </w:r>
          </w:p>
        </w:tc>
        <w:tc>
          <w:tcPr>
            <w:tcW w:w="120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红浓透亮</w:t>
            </w:r>
          </w:p>
        </w:tc>
        <w:tc>
          <w:tcPr>
            <w:tcW w:w="120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陈香浓郁、透木质香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醇厚、柔顺甘滑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0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红褐、肥壮、匀齐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111111"/>
                <w:sz w:val="18"/>
                <w:szCs w:val="18"/>
              </w:rPr>
              <w:t>按附录A审评方式执行</w:t>
            </w:r>
          </w:p>
        </w:tc>
      </w:tr>
    </w:tbl>
    <w:p>
      <w:pPr>
        <w:pStyle w:val="14"/>
      </w:pPr>
    </w:p>
    <w:p>
      <w:pPr>
        <w:pStyle w:val="48"/>
        <w:numPr>
          <w:ilvl w:val="2"/>
          <w:numId w:val="0"/>
        </w:num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5.3.5</w:t>
      </w:r>
      <w:r>
        <w:rPr>
          <w:rFonts w:ascii="黑体" w:hAnsi="黑体" w:eastAsia="黑体"/>
        </w:rPr>
        <w:t xml:space="preserve">  </w:t>
      </w:r>
      <w:r>
        <w:rPr>
          <w:rFonts w:hint="eastAsia" w:ascii="黑体" w:hAnsi="黑体" w:eastAsia="黑体"/>
        </w:rPr>
        <w:t>20年</w:t>
      </w:r>
      <w:r>
        <w:rPr>
          <w:rFonts w:ascii="Cambria Math" w:hAnsi="Cambria Math" w:eastAsia="黑体" w:cs="Cambria Math"/>
        </w:rPr>
        <w:t>∼</w:t>
      </w:r>
      <w:r>
        <w:rPr>
          <w:rFonts w:hint="eastAsia" w:ascii="黑体" w:hAnsi="黑体" w:eastAsia="黑体"/>
        </w:rPr>
        <w:t>30年年份普洱茶（熟茶）</w:t>
      </w:r>
    </w:p>
    <w:p>
      <w:pPr>
        <w:pStyle w:val="48"/>
        <w:numPr>
          <w:ilvl w:val="0"/>
          <w:numId w:val="0"/>
        </w:numPr>
      </w:pPr>
      <w:r>
        <w:rPr>
          <w:rFonts w:hint="eastAsia"/>
        </w:rPr>
        <w:t xml:space="preserve">    应符合表</w:t>
      </w:r>
      <w:r>
        <w:rPr>
          <w:rFonts w:ascii="Times New Roman"/>
        </w:rPr>
        <w:t>5</w:t>
      </w:r>
      <w:r>
        <w:rPr>
          <w:rFonts w:hint="eastAsia"/>
        </w:rPr>
        <w:t>的规定。</w:t>
      </w:r>
    </w:p>
    <w:p>
      <w:pPr>
        <w:pStyle w:val="119"/>
      </w:pPr>
      <w:r>
        <w:rPr>
          <w:rFonts w:hint="eastAsia"/>
        </w:rPr>
        <w:t>20年</w:t>
      </w:r>
      <w:r>
        <w:rPr>
          <w:rFonts w:ascii="Cambria Math" w:hAnsi="Cambria Math" w:cs="Cambria Math"/>
        </w:rPr>
        <w:t>∼</w:t>
      </w:r>
      <w:r>
        <w:rPr>
          <w:rFonts w:hint="eastAsia"/>
        </w:rPr>
        <w:t>30年年份普洱茶（熟茶）的感官要求</w:t>
      </w:r>
    </w:p>
    <w:tbl>
      <w:tblPr>
        <w:tblStyle w:val="19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200"/>
        <w:gridCol w:w="1199"/>
        <w:gridCol w:w="1199"/>
        <w:gridCol w:w="1200"/>
        <w:gridCol w:w="1202"/>
        <w:gridCol w:w="1363"/>
      </w:tblGrid>
      <w:tr>
        <w:trPr>
          <w:trHeight w:val="330" w:hRule="atLeast"/>
          <w:jc w:val="center"/>
        </w:trPr>
        <w:tc>
          <w:tcPr>
            <w:tcW w:w="2399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外形</w:t>
            </w:r>
          </w:p>
        </w:tc>
        <w:tc>
          <w:tcPr>
            <w:tcW w:w="4800" w:type="dxa"/>
            <w:gridSpan w:val="4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内质</w:t>
            </w:r>
          </w:p>
        </w:tc>
        <w:tc>
          <w:tcPr>
            <w:tcW w:w="1363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rPr>
          <w:trHeight w:val="330" w:hRule="atLeast"/>
          <w:jc w:val="center"/>
        </w:trPr>
        <w:tc>
          <w:tcPr>
            <w:tcW w:w="119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外观</w:t>
            </w:r>
          </w:p>
        </w:tc>
        <w:tc>
          <w:tcPr>
            <w:tcW w:w="1200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色泽</w:t>
            </w:r>
          </w:p>
        </w:tc>
        <w:tc>
          <w:tcPr>
            <w:tcW w:w="119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汤色</w:t>
            </w:r>
          </w:p>
        </w:tc>
        <w:tc>
          <w:tcPr>
            <w:tcW w:w="119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香气</w:t>
            </w:r>
          </w:p>
        </w:tc>
        <w:tc>
          <w:tcPr>
            <w:tcW w:w="1200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滋味</w:t>
            </w:r>
          </w:p>
        </w:tc>
        <w:tc>
          <w:tcPr>
            <w:tcW w:w="1202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叶底</w:t>
            </w:r>
          </w:p>
        </w:tc>
        <w:tc>
          <w:tcPr>
            <w:tcW w:w="1363" w:type="dxa"/>
            <w:vMerge w:val="continue"/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</w:tr>
      <w:tr>
        <w:trPr>
          <w:trHeight w:val="950" w:hRule="atLeast"/>
          <w:jc w:val="center"/>
        </w:trPr>
        <w:tc>
          <w:tcPr>
            <w:tcW w:w="119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条索肥壮紧实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红褐油润</w:t>
            </w:r>
          </w:p>
        </w:tc>
        <w:tc>
          <w:tcPr>
            <w:tcW w:w="119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红浓透亮、稠厚、显金圈</w:t>
            </w:r>
          </w:p>
        </w:tc>
        <w:tc>
          <w:tcPr>
            <w:tcW w:w="119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陈香馥郁、透木质香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浓醇、稠厚、润滑、柔甜</w:t>
            </w:r>
          </w:p>
        </w:tc>
        <w:tc>
          <w:tcPr>
            <w:tcW w:w="120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0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红褐、肥壮、匀齐</w:t>
            </w:r>
          </w:p>
        </w:tc>
        <w:tc>
          <w:tcPr>
            <w:tcW w:w="136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hAnsi="宋体" w:cs="宋体"/>
                <w:color w:val="111111"/>
                <w:sz w:val="18"/>
                <w:szCs w:val="18"/>
              </w:rPr>
              <w:t>按附录A审评方式执行</w:t>
            </w:r>
          </w:p>
        </w:tc>
      </w:tr>
    </w:tbl>
    <w:p>
      <w:pPr>
        <w:pStyle w:val="14"/>
      </w:pPr>
    </w:p>
    <w:p>
      <w:pPr>
        <w:pStyle w:val="48"/>
        <w:numPr>
          <w:ilvl w:val="0"/>
          <w:numId w:val="0"/>
        </w:num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5.3.6</w:t>
      </w:r>
      <w:r>
        <w:rPr>
          <w:rFonts w:ascii="黑体" w:hAnsi="黑体" w:eastAsia="黑体"/>
        </w:rPr>
        <w:t xml:space="preserve"> </w:t>
      </w:r>
      <w:r>
        <w:rPr>
          <w:rFonts w:hint="eastAsia" w:ascii="黑体" w:hAnsi="黑体" w:eastAsia="黑体"/>
        </w:rPr>
        <w:t>30年以上年份普洱茶（熟茶）</w:t>
      </w:r>
    </w:p>
    <w:p>
      <w:pPr>
        <w:pStyle w:val="48"/>
        <w:numPr>
          <w:ilvl w:val="0"/>
          <w:numId w:val="0"/>
        </w:numPr>
      </w:pPr>
      <w:r>
        <w:rPr>
          <w:rFonts w:hint="eastAsia"/>
        </w:rPr>
        <w:t xml:space="preserve">    应符合表</w:t>
      </w:r>
      <w:r>
        <w:rPr>
          <w:rFonts w:ascii="Times New Roman"/>
        </w:rPr>
        <w:t>6</w:t>
      </w:r>
      <w:r>
        <w:rPr>
          <w:rFonts w:hint="eastAsia"/>
        </w:rPr>
        <w:t>的规定。</w:t>
      </w:r>
    </w:p>
    <w:p>
      <w:pPr>
        <w:pStyle w:val="119"/>
      </w:pPr>
      <w:r>
        <w:rPr>
          <w:rFonts w:hint="eastAsia"/>
        </w:rPr>
        <w:t>30年以上年份普洱茶（熟茶）的感官要求</w:t>
      </w:r>
    </w:p>
    <w:tbl>
      <w:tblPr>
        <w:tblStyle w:val="19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245"/>
        <w:gridCol w:w="1245"/>
        <w:gridCol w:w="1245"/>
        <w:gridCol w:w="1246"/>
        <w:gridCol w:w="1247"/>
        <w:gridCol w:w="1246"/>
      </w:tblGrid>
      <w:tr>
        <w:trPr>
          <w:trHeight w:val="306" w:hRule="atLeast"/>
          <w:jc w:val="center"/>
        </w:trPr>
        <w:tc>
          <w:tcPr>
            <w:tcW w:w="2490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外形</w:t>
            </w:r>
          </w:p>
        </w:tc>
        <w:tc>
          <w:tcPr>
            <w:tcW w:w="4983" w:type="dxa"/>
            <w:gridSpan w:val="4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内质</w:t>
            </w:r>
          </w:p>
        </w:tc>
        <w:tc>
          <w:tcPr>
            <w:tcW w:w="1246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rPr>
          <w:trHeight w:val="306" w:hRule="atLeast"/>
          <w:jc w:val="center"/>
        </w:trPr>
        <w:tc>
          <w:tcPr>
            <w:tcW w:w="1245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外观</w:t>
            </w:r>
          </w:p>
        </w:tc>
        <w:tc>
          <w:tcPr>
            <w:tcW w:w="1245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色泽</w:t>
            </w:r>
          </w:p>
        </w:tc>
        <w:tc>
          <w:tcPr>
            <w:tcW w:w="1245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汤色</w:t>
            </w:r>
          </w:p>
        </w:tc>
        <w:tc>
          <w:tcPr>
            <w:tcW w:w="1245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香气</w:t>
            </w:r>
          </w:p>
        </w:tc>
        <w:tc>
          <w:tcPr>
            <w:tcW w:w="1246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滋味</w:t>
            </w:r>
          </w:p>
        </w:tc>
        <w:tc>
          <w:tcPr>
            <w:tcW w:w="1247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叶底</w:t>
            </w:r>
          </w:p>
        </w:tc>
        <w:tc>
          <w:tcPr>
            <w:tcW w:w="1246" w:type="dxa"/>
            <w:vMerge w:val="continue"/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</w:tr>
      <w:tr>
        <w:trPr>
          <w:trHeight w:val="306" w:hRule="atLeast"/>
          <w:jc w:val="center"/>
        </w:trPr>
        <w:tc>
          <w:tcPr>
            <w:tcW w:w="124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条索肥壮紧实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红褐油润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红浓透亮、稠厚、金圈特显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陈香馥郁、透木质香、显参香</w:t>
            </w:r>
          </w:p>
        </w:tc>
        <w:tc>
          <w:tcPr>
            <w:tcW w:w="124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浓醇、稠厚、润滑、甘甜、透木质味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0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黑褐、肥壮、匀亮</w:t>
            </w:r>
          </w:p>
        </w:tc>
        <w:tc>
          <w:tcPr>
            <w:tcW w:w="124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111111"/>
                <w:sz w:val="18"/>
                <w:szCs w:val="18"/>
              </w:rPr>
              <w:t>按附录A审评方式执行</w:t>
            </w:r>
          </w:p>
        </w:tc>
      </w:tr>
    </w:tbl>
    <w:p>
      <w:pPr>
        <w:pStyle w:val="14"/>
      </w:pPr>
    </w:p>
    <w:p>
      <w:pPr>
        <w:pStyle w:val="27"/>
        <w:rPr>
          <w:rFonts w:hAnsi="黑体"/>
        </w:rPr>
      </w:pPr>
      <w:r>
        <w:rPr>
          <w:rFonts w:hint="eastAsia" w:hAnsi="黑体"/>
        </w:rPr>
        <w:t>理化指标</w:t>
      </w:r>
    </w:p>
    <w:p>
      <w:pPr>
        <w:pStyle w:val="14"/>
        <w:rPr>
          <w:rFonts w:hAnsi="宋体"/>
        </w:rPr>
      </w:pPr>
      <w:r>
        <w:rPr>
          <w:rFonts w:hint="eastAsia" w:hAnsi="宋体"/>
        </w:rPr>
        <w:t>应符合表7的规定。</w:t>
      </w:r>
    </w:p>
    <w:p>
      <w:pPr>
        <w:pStyle w:val="119"/>
        <w:rPr>
          <w:rFonts w:hAnsi="黑体" w:cs="黑体"/>
        </w:rPr>
      </w:pPr>
      <w:r>
        <w:rPr>
          <w:rFonts w:hint="eastAsia" w:hAnsi="黑体" w:cs="黑体"/>
        </w:rPr>
        <w:t>理化指标</w:t>
      </w:r>
    </w:p>
    <w:tbl>
      <w:tblPr>
        <w:tblStyle w:val="19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2392"/>
        <w:gridCol w:w="2393"/>
        <w:gridCol w:w="2393"/>
      </w:tblGrid>
      <w:tr>
        <w:tc>
          <w:tcPr>
            <w:tcW w:w="2392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</w:t>
            </w:r>
          </w:p>
        </w:tc>
        <w:tc>
          <w:tcPr>
            <w:tcW w:w="4785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393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c>
          <w:tcPr>
            <w:tcW w:w="2392" w:type="dxa"/>
            <w:vMerge w:val="continue"/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rFonts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>年份普洱茶（生茶）</w:t>
            </w:r>
          </w:p>
        </w:tc>
        <w:tc>
          <w:tcPr>
            <w:tcW w:w="2393" w:type="dxa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rFonts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>年份普洱茶（熟茶）</w:t>
            </w:r>
          </w:p>
        </w:tc>
        <w:tc>
          <w:tcPr>
            <w:tcW w:w="2393" w:type="dxa"/>
            <w:vMerge w:val="continue"/>
            <w:shd w:val="clear" w:color="auto" w:fill="auto"/>
          </w:tcPr>
          <w:p>
            <w:pPr>
              <w:pStyle w:val="14"/>
              <w:ind w:firstLine="0" w:firstLineChars="0"/>
              <w:rPr>
                <w:sz w:val="18"/>
                <w:szCs w:val="18"/>
              </w:rPr>
            </w:pPr>
          </w:p>
        </w:tc>
      </w:tr>
      <w:tr>
        <w:tc>
          <w:tcPr>
            <w:tcW w:w="239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水分，</w:t>
            </w:r>
            <w:r>
              <w:rPr>
                <w:rFonts w:ascii="宋体" w:hAnsi="宋体"/>
                <w:sz w:val="18"/>
                <w:szCs w:val="18"/>
              </w:rPr>
              <w:t>g</w:t>
            </w:r>
            <w:r>
              <w:rPr>
                <w:rFonts w:hint="eastAsia" w:ascii="宋体" w:hAnsi="宋体"/>
                <w:sz w:val="18"/>
                <w:szCs w:val="18"/>
              </w:rPr>
              <w:t>/</w:t>
            </w:r>
            <w:r>
              <w:rPr>
                <w:rFonts w:ascii="宋体" w:hAnsi="宋体"/>
                <w:sz w:val="18"/>
                <w:szCs w:val="18"/>
              </w:rPr>
              <w:t>100g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≤</w:t>
            </w:r>
          </w:p>
        </w:tc>
        <w:tc>
          <w:tcPr>
            <w:tcW w:w="239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1</w:t>
            </w:r>
            <w:r>
              <w:rPr>
                <w:rFonts w:hint="eastAsia" w:ascii="Times New Roman"/>
                <w:sz w:val="18"/>
                <w:szCs w:val="18"/>
              </w:rPr>
              <w:t>2.0</w:t>
            </w:r>
          </w:p>
        </w:tc>
        <w:tc>
          <w:tcPr>
            <w:tcW w:w="239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12.</w:t>
            </w:r>
            <w:r>
              <w:rPr>
                <w:rFonts w:hint="eastAsia" w:ascii="宋体"/>
                <w:sz w:val="18"/>
                <w:szCs w:val="18"/>
              </w:rPr>
              <w:t>0</w:t>
            </w:r>
          </w:p>
        </w:tc>
        <w:tc>
          <w:tcPr>
            <w:tcW w:w="239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GB 5009.3</w:t>
            </w:r>
          </w:p>
        </w:tc>
      </w:tr>
      <w:tr>
        <w:tc>
          <w:tcPr>
            <w:tcW w:w="239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spacing w:line="22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总灰分，</w:t>
            </w:r>
            <w:r>
              <w:rPr>
                <w:rFonts w:ascii="宋体" w:hAnsi="宋体"/>
                <w:sz w:val="18"/>
                <w:szCs w:val="18"/>
              </w:rPr>
              <w:t>g</w:t>
            </w:r>
            <w:r>
              <w:rPr>
                <w:rFonts w:hint="eastAsia" w:ascii="宋体" w:hAnsi="宋体"/>
                <w:sz w:val="18"/>
                <w:szCs w:val="18"/>
              </w:rPr>
              <w:t>/</w:t>
            </w:r>
            <w:r>
              <w:rPr>
                <w:rFonts w:ascii="宋体" w:hAnsi="宋体"/>
                <w:sz w:val="18"/>
                <w:szCs w:val="18"/>
              </w:rPr>
              <w:t>100g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≤</w:t>
            </w:r>
          </w:p>
        </w:tc>
        <w:tc>
          <w:tcPr>
            <w:tcW w:w="239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8</w:t>
            </w:r>
            <w:r>
              <w:rPr>
                <w:rFonts w:hint="eastAsia" w:ascii="Times New Roman"/>
                <w:sz w:val="18"/>
                <w:szCs w:val="18"/>
              </w:rPr>
              <w:t>.0</w:t>
            </w:r>
          </w:p>
        </w:tc>
        <w:tc>
          <w:tcPr>
            <w:tcW w:w="239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8.5</w:t>
            </w:r>
          </w:p>
        </w:tc>
        <w:tc>
          <w:tcPr>
            <w:tcW w:w="239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GB 5009.4</w:t>
            </w:r>
          </w:p>
        </w:tc>
      </w:tr>
      <w:tr>
        <w:tc>
          <w:tcPr>
            <w:tcW w:w="239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spacing w:line="22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水浸出物，</w:t>
            </w:r>
            <w:r>
              <w:rPr>
                <w:rFonts w:ascii="宋体" w:hAnsi="宋体"/>
                <w:sz w:val="18"/>
                <w:szCs w:val="18"/>
              </w:rPr>
              <w:t>g</w:t>
            </w:r>
            <w:r>
              <w:rPr>
                <w:rFonts w:hint="eastAsia" w:ascii="宋体" w:hAnsi="宋体"/>
                <w:sz w:val="18"/>
                <w:szCs w:val="18"/>
              </w:rPr>
              <w:t>/</w:t>
            </w:r>
            <w:r>
              <w:rPr>
                <w:rFonts w:ascii="宋体" w:hAnsi="宋体"/>
                <w:sz w:val="18"/>
                <w:szCs w:val="18"/>
              </w:rPr>
              <w:t>100g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≥</w:t>
            </w:r>
          </w:p>
        </w:tc>
        <w:tc>
          <w:tcPr>
            <w:tcW w:w="2392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30</w:t>
            </w:r>
            <w:r>
              <w:rPr>
                <w:rFonts w:hint="eastAsia" w:ascii="Times New Roman"/>
                <w:sz w:val="18"/>
                <w:szCs w:val="18"/>
              </w:rPr>
              <w:t>.0</w:t>
            </w:r>
          </w:p>
        </w:tc>
        <w:tc>
          <w:tcPr>
            <w:tcW w:w="239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20</w:t>
            </w:r>
            <w:r>
              <w:rPr>
                <w:rFonts w:hint="eastAsia" w:ascii="宋体"/>
                <w:sz w:val="18"/>
                <w:szCs w:val="18"/>
              </w:rPr>
              <w:t>.0</w:t>
            </w:r>
          </w:p>
        </w:tc>
        <w:tc>
          <w:tcPr>
            <w:tcW w:w="239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GB/T 8305</w:t>
            </w:r>
          </w:p>
        </w:tc>
      </w:tr>
      <w:tr>
        <w:tc>
          <w:tcPr>
            <w:tcW w:w="23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spacing w:line="22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茶多酚，</w:t>
            </w:r>
            <w:r>
              <w:rPr>
                <w:rFonts w:ascii="宋体" w:hAnsi="宋体"/>
                <w:sz w:val="18"/>
                <w:szCs w:val="18"/>
              </w:rPr>
              <w:t>g</w:t>
            </w:r>
            <w:r>
              <w:rPr>
                <w:rFonts w:hint="eastAsia" w:ascii="宋体" w:hAnsi="宋体"/>
                <w:sz w:val="18"/>
                <w:szCs w:val="18"/>
              </w:rPr>
              <w:t>/</w:t>
            </w:r>
            <w:r>
              <w:rPr>
                <w:rFonts w:ascii="宋体" w:hAnsi="宋体"/>
                <w:sz w:val="18"/>
                <w:szCs w:val="18"/>
              </w:rPr>
              <w:t>100g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</w:t>
            </w:r>
          </w:p>
        </w:tc>
        <w:tc>
          <w:tcPr>
            <w:tcW w:w="23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ascii="Times New Roman"/>
                <w:sz w:val="18"/>
                <w:szCs w:val="18"/>
              </w:rPr>
              <w:t>10</w:t>
            </w:r>
            <w:r>
              <w:rPr>
                <w:rFonts w:hint="eastAsia" w:ascii="Times New Roman"/>
                <w:sz w:val="18"/>
                <w:szCs w:val="18"/>
              </w:rPr>
              <w:t>.0</w:t>
            </w:r>
          </w:p>
        </w:tc>
        <w:tc>
          <w:tcPr>
            <w:tcW w:w="239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≤</w:t>
            </w:r>
            <w:r>
              <w:rPr>
                <w:rFonts w:ascii="宋体"/>
                <w:sz w:val="18"/>
                <w:szCs w:val="18"/>
              </w:rPr>
              <w:t>15</w:t>
            </w:r>
            <w:r>
              <w:rPr>
                <w:rFonts w:hint="eastAsia" w:ascii="宋体"/>
                <w:sz w:val="18"/>
                <w:szCs w:val="18"/>
              </w:rPr>
              <w:t>.0</w:t>
            </w:r>
          </w:p>
        </w:tc>
        <w:tc>
          <w:tcPr>
            <w:tcW w:w="239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GB/T 8313</w:t>
            </w:r>
          </w:p>
        </w:tc>
      </w:tr>
      <w:tr>
        <w:tc>
          <w:tcPr>
            <w:tcW w:w="9570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spacing w:line="220" w:lineRule="atLeas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注：茶多酚仅作为出厂检验时的判定依据。</w:t>
            </w:r>
          </w:p>
        </w:tc>
      </w:tr>
    </w:tbl>
    <w:p>
      <w:pPr>
        <w:pStyle w:val="14"/>
      </w:pPr>
    </w:p>
    <w:p>
      <w:pPr>
        <w:pStyle w:val="27"/>
        <w:rPr>
          <w:rFonts w:hAnsi="黑体"/>
        </w:rPr>
      </w:pPr>
      <w:r>
        <w:rPr>
          <w:rFonts w:hint="eastAsia" w:hAnsi="黑体"/>
        </w:rPr>
        <w:t>污染物限量</w:t>
      </w:r>
    </w:p>
    <w:p>
      <w:pPr>
        <w:pStyle w:val="14"/>
      </w:pPr>
      <w:r>
        <w:rPr>
          <w:rFonts w:hint="eastAsia"/>
        </w:rPr>
        <w:t>应符合</w:t>
      </w:r>
      <w:r>
        <w:rPr>
          <w:rFonts w:ascii="Times New Roman"/>
        </w:rPr>
        <w:t>GB 2762</w:t>
      </w:r>
      <w:r>
        <w:rPr>
          <w:rFonts w:hint="eastAsia"/>
        </w:rPr>
        <w:t>的规定，严于食品安全国家标准的指标应符合表8的规定。</w:t>
      </w:r>
    </w:p>
    <w:p>
      <w:pPr>
        <w:pStyle w:val="119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污染物限量</w:t>
      </w:r>
    </w:p>
    <w:tbl>
      <w:tblPr>
        <w:tblStyle w:val="19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0"/>
      </w:tblGrid>
      <w:tr>
        <w:tc>
          <w:tcPr>
            <w:tcW w:w="3190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</w:t>
            </w:r>
          </w:p>
        </w:tc>
        <w:tc>
          <w:tcPr>
            <w:tcW w:w="3190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3190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14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>
        <w:tc>
          <w:tcPr>
            <w:tcW w:w="3190" w:type="dxa"/>
            <w:tcBorders>
              <w:top w:val="single" w:color="auto" w:sz="8" w:space="0"/>
            </w:tcBorders>
            <w:shd w:val="clear" w:color="auto" w:fill="auto"/>
          </w:tcPr>
          <w:p>
            <w:pPr>
              <w:spacing w:line="22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铅(以</w:t>
            </w:r>
            <w:r>
              <w:rPr>
                <w:sz w:val="18"/>
                <w:szCs w:val="18"/>
              </w:rPr>
              <w:t>Pb</w:t>
            </w:r>
            <w:r>
              <w:rPr>
                <w:rFonts w:hint="eastAsia" w:ascii="宋体" w:hAnsi="宋体"/>
                <w:sz w:val="18"/>
                <w:szCs w:val="18"/>
              </w:rPr>
              <w:t>计) ，</w:t>
            </w:r>
            <w:r>
              <w:rPr>
                <w:sz w:val="18"/>
                <w:szCs w:val="18"/>
              </w:rPr>
              <w:t>mg/kg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sz w:val="18"/>
                <w:szCs w:val="18"/>
              </w:rPr>
              <w:t>≤</w:t>
            </w:r>
          </w:p>
        </w:tc>
        <w:tc>
          <w:tcPr>
            <w:tcW w:w="3190" w:type="dxa"/>
            <w:tcBorders>
              <w:top w:val="single" w:color="auto" w:sz="8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</w:t>
            </w:r>
          </w:p>
        </w:tc>
        <w:tc>
          <w:tcPr>
            <w:tcW w:w="3190" w:type="dxa"/>
            <w:tcBorders>
              <w:top w:val="single" w:color="auto" w:sz="8" w:space="0"/>
            </w:tcBorders>
            <w:shd w:val="clear" w:color="auto" w:fill="auto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GB 5009.12</w:t>
            </w:r>
          </w:p>
        </w:tc>
      </w:tr>
    </w:tbl>
    <w:p>
      <w:pPr>
        <w:pStyle w:val="27"/>
        <w:rPr>
          <w:rFonts w:hAnsi="黑体"/>
        </w:rPr>
      </w:pPr>
      <w:r>
        <w:rPr>
          <w:rFonts w:hint="eastAsia" w:hAnsi="黑体"/>
        </w:rPr>
        <w:t>农药残留限量</w:t>
      </w:r>
    </w:p>
    <w:p>
      <w:pPr>
        <w:pStyle w:val="14"/>
      </w:pPr>
      <w:r>
        <w:rPr>
          <w:rFonts w:hint="eastAsia"/>
        </w:rPr>
        <w:t>应符合</w:t>
      </w:r>
      <w:r>
        <w:rPr>
          <w:rFonts w:ascii="Times New Roman"/>
        </w:rPr>
        <w:t>GB 2763</w:t>
      </w:r>
      <w:r>
        <w:rPr>
          <w:rFonts w:hint="eastAsia"/>
        </w:rPr>
        <w:t>的规定。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微生物限量</w:t>
      </w:r>
    </w:p>
    <w:p>
      <w:pPr>
        <w:pStyle w:val="14"/>
      </w:pPr>
      <w:r>
        <w:rPr>
          <w:rFonts w:hint="eastAsia"/>
        </w:rPr>
        <w:t>应符合</w:t>
      </w:r>
      <w:r>
        <w:rPr>
          <w:rFonts w:ascii="Times New Roman"/>
        </w:rPr>
        <w:t>GB/T 2211</w:t>
      </w:r>
      <w:r>
        <w:rPr>
          <w:rFonts w:hint="eastAsia" w:ascii="Times New Roman"/>
        </w:rPr>
        <w:t>1</w:t>
      </w:r>
      <w:r>
        <w:rPr>
          <w:rFonts w:hint="eastAsia"/>
        </w:rPr>
        <w:t>的要求。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净含量</w:t>
      </w:r>
    </w:p>
    <w:p>
      <w:pPr>
        <w:pStyle w:val="14"/>
      </w:pPr>
      <w:r>
        <w:rPr>
          <w:rFonts w:hint="eastAsia"/>
        </w:rPr>
        <w:t>应符合《定量包装商品计量监督管理办法》的规定，按</w:t>
      </w:r>
      <w:r>
        <w:rPr>
          <w:rFonts w:ascii="Times New Roman"/>
          <w:kern w:val="2"/>
          <w:szCs w:val="24"/>
        </w:rPr>
        <w:t>JJF 1070</w:t>
      </w:r>
      <w:r>
        <w:rPr>
          <w:rFonts w:hint="eastAsia"/>
        </w:rPr>
        <w:t>规定的方法检验。</w:t>
      </w:r>
    </w:p>
    <w:p>
      <w:pPr>
        <w:pStyle w:val="27"/>
      </w:pPr>
      <w:r>
        <w:rPr>
          <w:rFonts w:hint="eastAsia" w:hAnsi="黑体"/>
        </w:rPr>
        <w:t>食品添加剂</w:t>
      </w:r>
    </w:p>
    <w:p>
      <w:pPr>
        <w:pStyle w:val="14"/>
      </w:pPr>
      <w:r>
        <w:rPr>
          <w:rFonts w:hint="eastAsia" w:hAnsi="黑体"/>
        </w:rPr>
        <w:t>不应使用食品添加剂。</w:t>
      </w:r>
    </w:p>
    <w:p>
      <w:pPr>
        <w:pStyle w:val="27"/>
        <w:rPr>
          <w:rFonts w:hAnsi="黑体"/>
        </w:rPr>
      </w:pPr>
      <w:r>
        <w:rPr>
          <w:rFonts w:hAnsi="黑体"/>
        </w:rPr>
        <w:t>生产加工过程的卫生要求</w:t>
      </w:r>
    </w:p>
    <w:p>
      <w:pPr>
        <w:pStyle w:val="14"/>
        <w:rPr>
          <w:rFonts w:hAnsi="宋体"/>
        </w:rPr>
      </w:pPr>
      <w:r>
        <w:rPr>
          <w:rFonts w:hint="eastAsia" w:hAnsi="宋体"/>
        </w:rPr>
        <w:t>应符合</w:t>
      </w:r>
      <w:r>
        <w:rPr>
          <w:rFonts w:ascii="Times New Roman"/>
          <w:kern w:val="2"/>
          <w:szCs w:val="24"/>
        </w:rPr>
        <w:t>GB 14881</w:t>
      </w:r>
      <w:r>
        <w:rPr>
          <w:rFonts w:hint="eastAsia" w:hAnsi="宋体"/>
        </w:rPr>
        <w:t>的规定。</w:t>
      </w:r>
    </w:p>
    <w:p>
      <w:pPr>
        <w:pStyle w:val="30"/>
      </w:pPr>
      <w:r>
        <w:rPr>
          <w:rFonts w:hint="eastAsia"/>
        </w:rPr>
        <w:t>检验规则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组批</w:t>
      </w:r>
    </w:p>
    <w:p>
      <w:pPr>
        <w:ind w:firstLine="420" w:firstLineChars="200"/>
        <w:rPr>
          <w:rFonts w:ascii="宋体" w:hAnsi="宋体"/>
          <w:kern w:val="0"/>
        </w:rPr>
      </w:pPr>
      <w:r>
        <w:rPr>
          <w:rFonts w:hint="eastAsia" w:ascii="宋体" w:hAnsi="宋体"/>
          <w:kern w:val="0"/>
        </w:rPr>
        <w:t>以同一原料、同一工艺、同一规格、同一生产周期内所生产的产品为一组批。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抽样</w:t>
      </w:r>
    </w:p>
    <w:p>
      <w:pPr>
        <w:ind w:firstLine="420" w:firstLineChars="200"/>
        <w:rPr>
          <w:rFonts w:ascii="宋体"/>
          <w:kern w:val="0"/>
          <w:szCs w:val="20"/>
        </w:rPr>
      </w:pPr>
      <w:r>
        <w:rPr>
          <w:rFonts w:hint="eastAsia" w:ascii="宋体"/>
          <w:kern w:val="0"/>
          <w:szCs w:val="20"/>
        </w:rPr>
        <w:t>按</w:t>
      </w:r>
      <w:r>
        <w:t>GB/T 8302</w:t>
      </w:r>
      <w:r>
        <w:rPr>
          <w:rFonts w:hint="eastAsia" w:ascii="宋体"/>
          <w:kern w:val="0"/>
          <w:szCs w:val="20"/>
        </w:rPr>
        <w:t>的规定执行。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出厂检验</w:t>
      </w:r>
    </w:p>
    <w:p>
      <w:pPr>
        <w:ind w:firstLine="420" w:firstLineChars="200"/>
        <w:rPr>
          <w:rFonts w:ascii="宋体"/>
          <w:kern w:val="0"/>
          <w:szCs w:val="20"/>
        </w:rPr>
      </w:pPr>
      <w:r>
        <w:rPr>
          <w:rFonts w:hint="eastAsia" w:ascii="宋体"/>
          <w:kern w:val="0"/>
          <w:szCs w:val="20"/>
        </w:rPr>
        <w:t>产品出厂前，</w:t>
      </w:r>
      <w:r>
        <w:rPr>
          <w:rFonts w:hint="eastAsia"/>
        </w:rPr>
        <w:t>每批产品均需由公司质量检验部门抽检，经检验合格，签发合格证后方可出厂销售。出厂检验项目为：感官审评、水分、灰分、茶多酚、净含量。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型式检验</w:t>
      </w:r>
    </w:p>
    <w:p>
      <w:pPr>
        <w:ind w:firstLine="420" w:firstLineChars="200"/>
        <w:rPr>
          <w:rFonts w:ascii="宋体"/>
          <w:kern w:val="0"/>
          <w:szCs w:val="20"/>
        </w:rPr>
      </w:pPr>
      <w:r>
        <w:rPr>
          <w:rFonts w:hint="eastAsia" w:ascii="宋体"/>
          <w:kern w:val="0"/>
          <w:szCs w:val="20"/>
        </w:rPr>
        <w:t>型式检验每半年进行一次，检验项目为本标准规定的全部项目。有下列情况之一时，亦应进行检验。</w:t>
      </w:r>
    </w:p>
    <w:p>
      <w:pPr>
        <w:pStyle w:val="44"/>
      </w:pPr>
      <w:r>
        <w:rPr>
          <w:rFonts w:hint="eastAsia" w:ascii="Times New Roman" w:hAnsi="宋体"/>
        </w:rPr>
        <w:t>产品</w:t>
      </w:r>
      <w:r>
        <w:rPr>
          <w:rFonts w:ascii="Times New Roman" w:hAnsi="宋体"/>
        </w:rPr>
        <w:t>原料、生产工艺</w:t>
      </w:r>
      <w:r>
        <w:rPr>
          <w:rFonts w:hint="eastAsia" w:ascii="Times New Roman" w:hAnsi="宋体"/>
        </w:rPr>
        <w:t>、生产设备</w:t>
      </w:r>
      <w:r>
        <w:rPr>
          <w:rFonts w:ascii="Times New Roman" w:hAnsi="宋体"/>
        </w:rPr>
        <w:t>有较大改变时</w:t>
      </w:r>
      <w:r>
        <w:rPr>
          <w:rFonts w:hint="eastAsia" w:hAnsi="宋体"/>
        </w:rPr>
        <w:t>；</w:t>
      </w:r>
    </w:p>
    <w:p>
      <w:pPr>
        <w:pStyle w:val="44"/>
      </w:pPr>
      <w:r>
        <w:rPr>
          <w:rFonts w:hint="eastAsia"/>
        </w:rPr>
        <w:t>停产半年以上重新恢复生产时；</w:t>
      </w:r>
    </w:p>
    <w:p>
      <w:pPr>
        <w:pStyle w:val="44"/>
      </w:pPr>
      <w:r>
        <w:rPr>
          <w:rFonts w:hint="eastAsia"/>
        </w:rPr>
        <w:t>出厂检验结果与上一次型式检验结果有较大差异时；</w:t>
      </w:r>
    </w:p>
    <w:p>
      <w:pPr>
        <w:pStyle w:val="44"/>
      </w:pPr>
      <w:r>
        <w:rPr>
          <w:rFonts w:hint="eastAsia"/>
        </w:rPr>
        <w:t>国家食品安全监管部门提出型式检验要求时。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判定规则</w:t>
      </w:r>
    </w:p>
    <w:p>
      <w:pPr>
        <w:pStyle w:val="14"/>
      </w:pPr>
      <w:r>
        <w:t>检验</w:t>
      </w:r>
      <w:r>
        <w:rPr>
          <w:rFonts w:hint="eastAsia"/>
        </w:rPr>
        <w:t>项目全部合格，判定为合格产品，</w:t>
      </w:r>
      <w:r>
        <w:rPr>
          <w:rFonts w:hint="eastAsia" w:hAnsi="宋体" w:cs="宋体"/>
        </w:rPr>
        <w:t>若检验结果中微生物有一项不合格，则判定该批产品不合格，</w:t>
      </w:r>
      <w:r>
        <w:rPr>
          <w:rFonts w:hint="eastAsia"/>
        </w:rPr>
        <w:t>其余项目有不合格</w:t>
      </w:r>
      <w:r>
        <w:t>，</w:t>
      </w:r>
      <w:r>
        <w:rPr>
          <w:rFonts w:hint="eastAsia"/>
        </w:rPr>
        <w:t>可</w:t>
      </w:r>
      <w:r>
        <w:t>用留样进行复检</w:t>
      </w:r>
      <w:r>
        <w:rPr>
          <w:rFonts w:hint="eastAsia"/>
        </w:rPr>
        <w:t>，</w:t>
      </w:r>
      <w:r>
        <w:t>以复检结果为准</w:t>
      </w:r>
      <w:r>
        <w:rPr>
          <w:rFonts w:hint="eastAsia"/>
        </w:rPr>
        <w:t>。</w:t>
      </w:r>
    </w:p>
    <w:p>
      <w:pPr>
        <w:pStyle w:val="30"/>
      </w:pPr>
      <w:r>
        <w:rPr>
          <w:rFonts w:hint="eastAsia"/>
        </w:rPr>
        <w:t>标志、包装、运输、贮存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标志</w:t>
      </w:r>
    </w:p>
    <w:p>
      <w:pPr>
        <w:pStyle w:val="48"/>
      </w:pPr>
      <w:r>
        <w:rPr>
          <w:rFonts w:hint="eastAsia"/>
        </w:rPr>
        <w:t>产品标签标识应符合</w:t>
      </w:r>
      <w:r>
        <w:rPr>
          <w:rFonts w:ascii="Times New Roman"/>
          <w:kern w:val="2"/>
          <w:szCs w:val="24"/>
        </w:rPr>
        <w:t>GB 7718</w:t>
      </w:r>
      <w:r>
        <w:t>的规定</w:t>
      </w:r>
      <w:r>
        <w:rPr>
          <w:rFonts w:hint="eastAsia"/>
        </w:rPr>
        <w:t>。</w:t>
      </w:r>
    </w:p>
    <w:p>
      <w:pPr>
        <w:pStyle w:val="48"/>
      </w:pPr>
      <w:r>
        <w:rPr>
          <w:rFonts w:hint="eastAsia"/>
        </w:rPr>
        <w:t>包装储运图示标志应符合</w:t>
      </w:r>
      <w:r>
        <w:rPr>
          <w:rFonts w:ascii="Times New Roman"/>
          <w:kern w:val="2"/>
          <w:szCs w:val="24"/>
        </w:rPr>
        <w:t>GB/T 191</w:t>
      </w:r>
      <w:r>
        <w:rPr>
          <w:rFonts w:hint="eastAsia"/>
        </w:rPr>
        <w:t>的规定。</w:t>
      </w:r>
    </w:p>
    <w:p>
      <w:pPr>
        <w:pStyle w:val="27"/>
        <w:rPr>
          <w:rFonts w:hAnsi="黑体"/>
        </w:rPr>
      </w:pPr>
      <w:r>
        <w:rPr>
          <w:rFonts w:hAnsi="黑体"/>
        </w:rPr>
        <w:t>包装</w:t>
      </w:r>
    </w:p>
    <w:p>
      <w:pPr>
        <w:pStyle w:val="48"/>
        <w:numPr>
          <w:ilvl w:val="0"/>
          <w:numId w:val="0"/>
        </w:numPr>
        <w:ind w:firstLine="420" w:firstLineChars="200"/>
      </w:pPr>
      <w:r>
        <w:rPr>
          <w:rFonts w:hint="eastAsia" w:hAnsi="宋体" w:cs="宋体"/>
        </w:rPr>
        <w:t xml:space="preserve">应符合 </w:t>
      </w:r>
      <w:r>
        <w:rPr>
          <w:rFonts w:hint="eastAsia" w:ascii="Times New Roman"/>
          <w:kern w:val="2"/>
          <w:szCs w:val="24"/>
        </w:rPr>
        <w:t>GH/T 1070</w:t>
      </w:r>
      <w:r>
        <w:rPr>
          <w:rFonts w:hint="eastAsia" w:hAnsi="宋体" w:cs="宋体"/>
        </w:rPr>
        <w:t xml:space="preserve"> 的规定。包装容器应用干燥、清洁、卫生、无异味、便于运输的材料制成，接触茶叶的包装材料应符合</w:t>
      </w:r>
      <w:r>
        <w:rPr>
          <w:rFonts w:hint="eastAsia" w:ascii="Times New Roman"/>
          <w:kern w:val="2"/>
          <w:szCs w:val="24"/>
        </w:rPr>
        <w:t>GB 4806.7、GB 4806.8、GB4806.9、GB4806.13</w:t>
      </w:r>
      <w:r>
        <w:rPr>
          <w:rFonts w:hint="eastAsia"/>
        </w:rPr>
        <w:t>等</w:t>
      </w:r>
      <w:r>
        <w:rPr>
          <w:rFonts w:hint="eastAsia" w:hAnsi="宋体" w:cs="宋体"/>
        </w:rPr>
        <w:t>标准的规定。</w:t>
      </w:r>
      <w:r>
        <w:rPr>
          <w:rFonts w:hint="eastAsia"/>
        </w:rPr>
        <w:t>封口严实，包装牢固。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运输</w:t>
      </w:r>
    </w:p>
    <w:p>
      <w:pPr>
        <w:ind w:firstLine="420" w:firstLineChars="200"/>
      </w:pPr>
      <w:r>
        <w:rPr>
          <w:rFonts w:hint="eastAsia"/>
        </w:rPr>
        <w:t>运输工具应清洁干燥、卫生，无异味、无污染，不得与有毒、有害、有异味、易污染的物品混装、混运。运输时应避免暴晒、雨淋、受潮。搬运中必须轻拿轻放，防止挤压。</w:t>
      </w:r>
    </w:p>
    <w:p>
      <w:pPr>
        <w:pStyle w:val="27"/>
        <w:rPr>
          <w:rFonts w:hAnsi="黑体"/>
        </w:rPr>
      </w:pPr>
      <w:r>
        <w:rPr>
          <w:rFonts w:hint="eastAsia" w:hAnsi="黑体"/>
        </w:rPr>
        <w:t>贮存</w:t>
      </w:r>
    </w:p>
    <w:p>
      <w:pPr>
        <w:ind w:firstLine="420" w:firstLineChars="200"/>
      </w:pPr>
      <w:r>
        <w:rPr>
          <w:rFonts w:hint="eastAsia" w:ascii="宋体" w:hAnsi="宋体" w:cs="宋体"/>
        </w:rPr>
        <w:t>应符合</w:t>
      </w:r>
      <w:r>
        <w:rPr>
          <w:rFonts w:ascii="黑体" w:hAnsi="黑体" w:eastAsia="黑体"/>
          <w:color w:val="000000"/>
          <w:kern w:val="21"/>
          <w:szCs w:val="21"/>
        </w:rPr>
        <w:t>GB/T 30375</w:t>
      </w:r>
      <w:r>
        <w:rPr>
          <w:rFonts w:hint="eastAsia" w:ascii="宋体" w:hAnsi="宋体" w:cs="宋体"/>
        </w:rPr>
        <w:t>的规定。</w:t>
      </w:r>
    </w:p>
    <w:p>
      <w:pPr>
        <w:pStyle w:val="83"/>
        <w:keepNext w:val="0"/>
        <w:pageBreakBefore w:val="0"/>
        <w:widowControl w:val="0"/>
      </w:pPr>
    </w:p>
    <w:p>
      <w:pPr>
        <w:pStyle w:val="71"/>
      </w:pPr>
    </w:p>
    <w:p>
      <w:pPr>
        <w:pStyle w:val="83"/>
      </w:pPr>
    </w:p>
    <w:p>
      <w:pPr>
        <w:pStyle w:val="71"/>
      </w:pPr>
    </w:p>
    <w:p>
      <w:pPr>
        <w:pStyle w:val="69"/>
      </w:pPr>
      <w:r>
        <w:br w:type="textWrapping"/>
      </w:r>
      <w:r>
        <w:rPr>
          <w:rFonts w:hint="eastAsia"/>
        </w:rPr>
        <w:t>（规范性附录）</w:t>
      </w:r>
      <w:r>
        <w:br w:type="textWrapping"/>
      </w:r>
      <w:r>
        <w:rPr>
          <w:rFonts w:hint="eastAsia"/>
        </w:rPr>
        <w:t>年份普洱茶感官审评方法</w:t>
      </w:r>
    </w:p>
    <w:p>
      <w:pPr>
        <w:pStyle w:val="87"/>
        <w:spacing w:before="312" w:after="312"/>
      </w:pPr>
      <w:r>
        <w:rPr>
          <w:rFonts w:hint="eastAsia"/>
        </w:rPr>
        <w:t>总则</w:t>
      </w:r>
    </w:p>
    <w:p>
      <w:pPr>
        <w:pStyle w:val="88"/>
        <w:spacing w:before="156" w:after="156"/>
      </w:pPr>
      <w:r>
        <w:rPr>
          <w:rFonts w:hint="eastAsia"/>
        </w:rPr>
        <w:t>年份普洱茶感官审评：</w:t>
      </w:r>
      <w:r>
        <w:rPr>
          <w:rFonts w:hint="eastAsia" w:ascii="宋体" w:hAnsi="宋体" w:eastAsia="宋体"/>
        </w:rPr>
        <w:t>是指</w:t>
      </w:r>
      <w:r>
        <w:rPr>
          <w:rFonts w:hint="eastAsia" w:ascii="宋体" w:hAnsi="宋体" w:eastAsia="宋体"/>
          <w:szCs w:val="21"/>
        </w:rPr>
        <w:t>按照规定的审评程序，对照</w:t>
      </w:r>
      <w:r>
        <w:rPr>
          <w:rFonts w:hint="eastAsia" w:ascii="宋体" w:hAnsi="宋体" w:eastAsia="宋体" w:cs="宋体"/>
          <w:szCs w:val="21"/>
        </w:rPr>
        <w:t>实物标准样，</w:t>
      </w:r>
      <w:r>
        <w:rPr>
          <w:rFonts w:hint="eastAsia" w:ascii="宋体" w:hAnsi="宋体" w:eastAsia="宋体"/>
          <w:szCs w:val="21"/>
        </w:rPr>
        <w:t>依专业审评人员正常视觉、嗅觉、味觉和触觉审查评定茶叶色、香、味、形等构成茶叶的品质和特征，以确定年份普洱茶的年份和商品价值。</w:t>
      </w:r>
    </w:p>
    <w:p>
      <w:pPr>
        <w:pStyle w:val="88"/>
        <w:tabs>
          <w:tab w:val="left" w:pos="360"/>
        </w:tabs>
        <w:spacing w:before="156" w:after="156"/>
        <w:rPr>
          <w:rFonts w:ascii="宋体" w:hAnsi="宋体" w:eastAsia="宋体"/>
        </w:rPr>
      </w:pPr>
      <w:r>
        <w:rPr>
          <w:rFonts w:hint="eastAsia"/>
        </w:rPr>
        <w:t>年份普洱茶审评项目：</w:t>
      </w:r>
      <w:r>
        <w:rPr>
          <w:rFonts w:hint="eastAsia" w:ascii="宋体" w:hAnsi="宋体" w:eastAsia="宋体"/>
        </w:rPr>
        <w:t>分外形（外观、色泽），内质（香气、汤色、滋味、叶底）。</w:t>
      </w:r>
    </w:p>
    <w:p>
      <w:pPr>
        <w:pStyle w:val="87"/>
        <w:tabs>
          <w:tab w:val="left" w:pos="360"/>
        </w:tabs>
        <w:spacing w:before="312" w:after="312"/>
      </w:pPr>
      <w:r>
        <w:rPr>
          <w:rFonts w:hint="eastAsia"/>
        </w:rPr>
        <w:t>审评因子和审评要素</w:t>
      </w:r>
    </w:p>
    <w:p>
      <w:pPr>
        <w:pStyle w:val="88"/>
        <w:spacing w:before="156" w:after="156"/>
      </w:pPr>
      <w:r>
        <w:rPr>
          <w:rFonts w:hint="eastAsia"/>
        </w:rPr>
        <w:t>外形审评</w:t>
      </w:r>
    </w:p>
    <w:p>
      <w:pPr>
        <w:pStyle w:val="74"/>
        <w:rPr>
          <w:rFonts w:ascii="黑体" w:eastAsia="黑体"/>
          <w:szCs w:val="20"/>
        </w:rPr>
      </w:pPr>
      <w:r>
        <w:rPr>
          <w:rFonts w:hint="eastAsia" w:ascii="黑体" w:eastAsia="黑体"/>
          <w:szCs w:val="20"/>
        </w:rPr>
        <w:t>外观：</w:t>
      </w:r>
      <w:r>
        <w:rPr>
          <w:rFonts w:hint="eastAsia" w:hAnsi="宋体" w:cs="宋体"/>
          <w:szCs w:val="20"/>
        </w:rPr>
        <w:t>条索、紧实度。</w:t>
      </w:r>
    </w:p>
    <w:p>
      <w:pPr>
        <w:pStyle w:val="74"/>
        <w:rPr>
          <w:rFonts w:ascii="黑体" w:eastAsia="黑体"/>
          <w:szCs w:val="20"/>
        </w:rPr>
      </w:pPr>
      <w:r>
        <w:rPr>
          <w:rFonts w:hint="eastAsia" w:ascii="黑体" w:eastAsia="黑体"/>
          <w:szCs w:val="20"/>
        </w:rPr>
        <w:t>色泽</w:t>
      </w:r>
    </w:p>
    <w:p>
      <w:pPr>
        <w:pStyle w:val="79"/>
      </w:pPr>
      <w:r>
        <w:rPr>
          <w:rFonts w:hint="eastAsia" w:hAnsi="宋体"/>
        </w:rPr>
        <w:t>年份普洱茶（生茶）的干茶色泽根据储存年份不同应以深绿、绿黄、绿褐、黄褐、红褐、黑褐为主，以颜色转化深度及润泽度做为衡量指标。</w:t>
      </w:r>
    </w:p>
    <w:p>
      <w:pPr>
        <w:pStyle w:val="79"/>
      </w:pPr>
      <w:r>
        <w:rPr>
          <w:rFonts w:hint="eastAsia" w:hAnsi="宋体"/>
        </w:rPr>
        <w:t>年份普洱茶（熟茶）的干茶色泽根据储存年份不同应以红褐、棕褐、黑褐为主，以颜色转化深度及润泽度做为衡量指标。</w:t>
      </w:r>
    </w:p>
    <w:p>
      <w:pPr>
        <w:pStyle w:val="88"/>
        <w:spacing w:before="156" w:after="156"/>
      </w:pPr>
      <w:r>
        <w:rPr>
          <w:rFonts w:hint="eastAsia"/>
        </w:rPr>
        <w:t>内质审评（以下两种方法都需进行）</w:t>
      </w:r>
    </w:p>
    <w:p>
      <w:pPr>
        <w:pStyle w:val="74"/>
        <w:tabs>
          <w:tab w:val="left" w:pos="360"/>
        </w:tabs>
      </w:pPr>
      <w:r>
        <w:rPr>
          <w:rFonts w:hint="eastAsia" w:ascii="黑体" w:hAnsi="黑体" w:eastAsia="黑体"/>
          <w:color w:val="000000"/>
        </w:rPr>
        <w:t>审评杯审评方法</w:t>
      </w:r>
      <w:r>
        <w:rPr>
          <w:rFonts w:hint="eastAsia" w:hAnsi="宋体"/>
          <w:color w:val="000000"/>
        </w:rPr>
        <w:t>：茶水比</w:t>
      </w:r>
      <w:r>
        <w:rPr>
          <w:rFonts w:ascii="Times New Roman"/>
          <w:color w:val="000000"/>
        </w:rPr>
        <w:t>1</w:t>
      </w:r>
      <w:r>
        <w:rPr>
          <w:rFonts w:ascii="Times New Roman" w:hAnsi="宋体"/>
          <w:color w:val="000000"/>
        </w:rPr>
        <w:t>：</w:t>
      </w:r>
      <w:r>
        <w:rPr>
          <w:rFonts w:ascii="Times New Roman"/>
          <w:color w:val="000000"/>
        </w:rPr>
        <w:t>50</w:t>
      </w:r>
      <w:r>
        <w:rPr>
          <w:rFonts w:hint="eastAsia" w:hAnsi="宋体"/>
          <w:color w:val="000000"/>
        </w:rPr>
        <w:t>，称取</w:t>
      </w:r>
      <w:r>
        <w:rPr>
          <w:rFonts w:ascii="Times New Roman"/>
          <w:color w:val="000000"/>
        </w:rPr>
        <w:t>3g</w:t>
      </w:r>
      <w:r>
        <w:rPr>
          <w:rFonts w:hint="eastAsia" w:hAnsi="宋体"/>
          <w:color w:val="000000"/>
        </w:rPr>
        <w:t>茶样，置于</w:t>
      </w:r>
      <w:r>
        <w:rPr>
          <w:rFonts w:ascii="Times New Roman"/>
          <w:color w:val="000000"/>
        </w:rPr>
        <w:t>150ml</w:t>
      </w:r>
      <w:r>
        <w:rPr>
          <w:rFonts w:hint="eastAsia" w:hAnsi="宋体"/>
          <w:color w:val="000000"/>
        </w:rPr>
        <w:t>或者称取</w:t>
      </w:r>
      <w:r>
        <w:rPr>
          <w:rFonts w:ascii="Times New Roman"/>
          <w:color w:val="000000"/>
        </w:rPr>
        <w:t>5g</w:t>
      </w:r>
      <w:r>
        <w:rPr>
          <w:rFonts w:hint="eastAsia" w:hAnsi="宋体"/>
          <w:color w:val="000000"/>
        </w:rPr>
        <w:t>茶样，置于</w:t>
      </w:r>
      <w:r>
        <w:rPr>
          <w:rFonts w:ascii="Times New Roman"/>
          <w:color w:val="000000"/>
        </w:rPr>
        <w:t>250ml</w:t>
      </w:r>
      <w:r>
        <w:rPr>
          <w:rFonts w:hint="eastAsia" w:hAnsi="宋体"/>
          <w:color w:val="000000"/>
        </w:rPr>
        <w:t>的标准审评杯中，分</w:t>
      </w:r>
      <w:r>
        <w:rPr>
          <w:rFonts w:hint="eastAsia" w:ascii="Times New Roman"/>
          <w:color w:val="000000"/>
        </w:rPr>
        <w:t>2</w:t>
      </w:r>
      <w:r>
        <w:rPr>
          <w:rFonts w:hint="eastAsia" w:hAnsi="宋体"/>
          <w:color w:val="000000"/>
        </w:rPr>
        <w:t>次冲泡审评，每次注入沸水至杯满，加盖浸泡，第一次</w:t>
      </w:r>
      <w:r>
        <w:rPr>
          <w:rFonts w:hint="eastAsia" w:ascii="Times New Roman"/>
          <w:color w:val="000000"/>
        </w:rPr>
        <w:t>5min</w:t>
      </w:r>
      <w:r>
        <w:rPr>
          <w:rFonts w:hint="eastAsia" w:hAnsi="宋体"/>
          <w:color w:val="000000"/>
        </w:rPr>
        <w:t>，第二次</w:t>
      </w:r>
      <w:r>
        <w:rPr>
          <w:rFonts w:hint="eastAsia" w:ascii="Times New Roman"/>
          <w:color w:val="000000"/>
        </w:rPr>
        <w:t>5min</w:t>
      </w:r>
      <w:r>
        <w:rPr>
          <w:rFonts w:hint="eastAsia" w:hAnsi="宋体"/>
          <w:color w:val="000000"/>
        </w:rPr>
        <w:t>，将茶汤沥入评茶碗中，依次审评：汤色、香气、</w:t>
      </w:r>
      <w:r>
        <w:rPr>
          <w:rFonts w:hAnsi="宋体"/>
          <w:color w:val="000000"/>
        </w:rPr>
        <w:t>滋味</w:t>
      </w:r>
      <w:r>
        <w:rPr>
          <w:rFonts w:hint="eastAsia" w:hAnsi="宋体"/>
          <w:color w:val="000000"/>
        </w:rPr>
        <w:t>、</w:t>
      </w:r>
      <w:r>
        <w:rPr>
          <w:rFonts w:hAnsi="宋体"/>
          <w:color w:val="000000"/>
        </w:rPr>
        <w:t>叶底</w:t>
      </w:r>
      <w:r>
        <w:rPr>
          <w:rFonts w:hint="eastAsia" w:hAnsi="宋体"/>
          <w:color w:val="000000"/>
        </w:rPr>
        <w:t>。</w:t>
      </w:r>
    </w:p>
    <w:p>
      <w:pPr>
        <w:pStyle w:val="74"/>
        <w:tabs>
          <w:tab w:val="left" w:pos="360"/>
        </w:tabs>
        <w:rPr>
          <w:rFonts w:ascii="黑体" w:hAnsi="黑体" w:eastAsia="黑体"/>
        </w:rPr>
      </w:pPr>
      <w:r>
        <w:rPr>
          <w:rFonts w:hint="eastAsia" w:ascii="黑体" w:hAnsi="黑体" w:eastAsia="黑体"/>
          <w:color w:val="000000"/>
        </w:rPr>
        <w:t>汤色</w:t>
      </w:r>
    </w:p>
    <w:p>
      <w:pPr>
        <w:pStyle w:val="79"/>
        <w:tabs>
          <w:tab w:val="left" w:pos="360"/>
        </w:tabs>
      </w:pPr>
      <w:r>
        <w:rPr>
          <w:rFonts w:hint="eastAsia" w:hAnsi="宋体"/>
        </w:rPr>
        <w:t>年份普洱茶（生茶）的汤色根据储存年份不同应以深黄、橙黄、橙红、红亮为主，以明亮者为好，暗浊者为差。</w:t>
      </w:r>
    </w:p>
    <w:p>
      <w:pPr>
        <w:pStyle w:val="79"/>
        <w:tabs>
          <w:tab w:val="left" w:pos="360"/>
        </w:tabs>
      </w:pPr>
      <w:r>
        <w:rPr>
          <w:rFonts w:hint="eastAsia" w:hAnsi="宋体"/>
        </w:rPr>
        <w:t>年份普洱茶（熟茶）的汤色根据储存年份不同应以褐红、深红、红亮、红艳为主，以明亮者为好，暗浊者为差。</w:t>
      </w:r>
    </w:p>
    <w:p>
      <w:pPr>
        <w:pStyle w:val="74"/>
        <w:tabs>
          <w:tab w:val="left" w:pos="360"/>
        </w:tabs>
        <w:rPr>
          <w:rFonts w:ascii="黑体" w:hAnsi="黑体" w:eastAsia="黑体"/>
        </w:rPr>
      </w:pPr>
      <w:r>
        <w:rPr>
          <w:rFonts w:hint="eastAsia" w:ascii="黑体" w:hAnsi="黑体" w:eastAsia="黑体"/>
        </w:rPr>
        <w:t>香气</w:t>
      </w:r>
    </w:p>
    <w:p>
      <w:pPr>
        <w:pStyle w:val="79"/>
        <w:tabs>
          <w:tab w:val="left" w:pos="360"/>
        </w:tabs>
      </w:pPr>
      <w:r>
        <w:rPr>
          <w:rFonts w:hint="eastAsia" w:hAnsi="宋体"/>
        </w:rPr>
        <w:t>年份普洱茶（生茶）的香气根据原料、储存、环境不同，可产生：花果香（桂圆香、梅子香等）、木香、陈香、菌香、参香、药香、樟香等不同类型香气为好，有异杂味、霉味、馊味、腥味等气味</w:t>
      </w:r>
      <w:r>
        <w:rPr>
          <w:rFonts w:hint="eastAsia" w:hAnsi="宋体"/>
          <w:color w:val="000000"/>
        </w:rPr>
        <w:t>为差</w:t>
      </w:r>
      <w:r>
        <w:rPr>
          <w:rFonts w:hint="eastAsia" w:hAnsi="宋体"/>
        </w:rPr>
        <w:t>。</w:t>
      </w:r>
      <w:r>
        <w:rPr>
          <w:rFonts w:hint="eastAsia" w:hAnsi="宋体"/>
          <w:lang w:val="en-US" w:eastAsia="zh-CN"/>
        </w:rPr>
        <w:t>按照</w:t>
      </w:r>
      <w:r>
        <w:rPr>
          <w:rFonts w:hint="eastAsia" w:hAnsi="宋体"/>
        </w:rPr>
        <w:t>GB 23776标准热嗅、温嗅、冷嗅</w:t>
      </w:r>
      <w:r>
        <w:rPr>
          <w:rFonts w:hint="eastAsia" w:hAnsi="宋体"/>
          <w:lang w:val="en-US" w:eastAsia="zh-CN"/>
        </w:rPr>
        <w:t>综合</w:t>
      </w:r>
      <w:r>
        <w:rPr>
          <w:rFonts w:hint="eastAsia" w:hAnsi="宋体"/>
        </w:rPr>
        <w:t>审评香气的</w:t>
      </w:r>
      <w:r>
        <w:rPr>
          <w:rFonts w:hint="eastAsia" w:hAnsi="宋体"/>
          <w:lang w:val="en-US" w:eastAsia="zh-CN"/>
        </w:rPr>
        <w:t>纯度、</w:t>
      </w:r>
      <w:r>
        <w:rPr>
          <w:rFonts w:hint="eastAsia" w:hAnsi="宋体"/>
        </w:rPr>
        <w:t>浓度（温湿度较高的仓储环境，可产生仓味，轻度的仓味属正常，以仓味轻者为好，重者为差）持久性。</w:t>
      </w:r>
    </w:p>
    <w:p>
      <w:pPr>
        <w:pStyle w:val="79"/>
        <w:tabs>
          <w:tab w:val="left" w:pos="360"/>
        </w:tabs>
        <w:rPr>
          <w:rFonts w:ascii="黑体" w:hAnsi="黑体" w:eastAsia="黑体"/>
        </w:rPr>
      </w:pPr>
      <w:r>
        <w:rPr>
          <w:rFonts w:hint="eastAsia" w:hAnsi="宋体"/>
        </w:rPr>
        <w:t>年份普洱茶（熟茶）的香气根据原料、储存、环境不同，可产生：木香、陈香、菌香、枣香、荷香、糯香、樟香、药香等不同类型香气为好，以异杂味、霉味、馊味、腥味等气味为差。</w:t>
      </w:r>
      <w:r>
        <w:rPr>
          <w:rFonts w:hint="eastAsia" w:hAnsi="宋体"/>
          <w:lang w:val="en-US" w:eastAsia="zh-CN"/>
        </w:rPr>
        <w:t>按照</w:t>
      </w:r>
      <w:r>
        <w:rPr>
          <w:rFonts w:hint="eastAsia" w:hAnsi="宋体"/>
        </w:rPr>
        <w:t>GB 23776标准热嗅、温嗅、冷嗅</w:t>
      </w:r>
      <w:r>
        <w:rPr>
          <w:rFonts w:hint="eastAsia" w:hAnsi="宋体"/>
          <w:lang w:val="en-US" w:eastAsia="zh-CN"/>
        </w:rPr>
        <w:t>综合</w:t>
      </w:r>
      <w:r>
        <w:rPr>
          <w:rFonts w:hint="eastAsia" w:hAnsi="宋体"/>
        </w:rPr>
        <w:t>审评香气的</w:t>
      </w:r>
      <w:r>
        <w:rPr>
          <w:rFonts w:hint="eastAsia" w:hAnsi="宋体"/>
          <w:lang w:val="en-US" w:eastAsia="zh-CN"/>
        </w:rPr>
        <w:t>纯度、</w:t>
      </w:r>
      <w:r>
        <w:rPr>
          <w:rFonts w:hint="eastAsia" w:hAnsi="宋体"/>
        </w:rPr>
        <w:t>浓度（温湿度较高的仓储环境，可产生仓味，轻度的仓味属正常，以仓味轻者为好，重者为差）、持久性。</w:t>
      </w:r>
    </w:p>
    <w:p>
      <w:pPr>
        <w:pStyle w:val="73"/>
        <w:spacing w:before="156" w:after="156"/>
      </w:pPr>
      <w:r>
        <w:rPr>
          <w:rFonts w:hint="eastAsia"/>
        </w:rPr>
        <w:t>滋味</w:t>
      </w:r>
    </w:p>
    <w:p>
      <w:pPr>
        <w:pStyle w:val="79"/>
        <w:tabs>
          <w:tab w:val="left" w:pos="360"/>
        </w:tabs>
      </w:pPr>
      <w:r>
        <w:rPr>
          <w:rFonts w:hint="eastAsia" w:hAnsi="宋体"/>
        </w:rPr>
        <w:t>年份普洱茶（生茶）的滋味品质应浓醇回甘。以纯正协调、甘醇饱满、苦涩度低、韵味持久为好，滋味欠醇、苦涩重、仓味浓、</w:t>
      </w:r>
      <w:r>
        <w:rPr>
          <w:rFonts w:hint="eastAsia" w:hAnsi="宋体"/>
          <w:lang w:val="en-US" w:eastAsia="zh-CN"/>
        </w:rPr>
        <w:t>挂喉、</w:t>
      </w:r>
      <w:r>
        <w:rPr>
          <w:rFonts w:hint="eastAsia" w:hAnsi="宋体"/>
        </w:rPr>
        <w:t>带酸馊异杂为差。</w:t>
      </w:r>
    </w:p>
    <w:p>
      <w:pPr>
        <w:pStyle w:val="79"/>
        <w:tabs>
          <w:tab w:val="left" w:pos="360"/>
        </w:tabs>
      </w:pPr>
      <w:r>
        <w:rPr>
          <w:rFonts w:hint="eastAsia" w:hAnsi="宋体"/>
        </w:rPr>
        <w:t>年份普洱茶（熟茶）的滋味品质应醇滑甜润。以纯正协调、顺滑饱满、陈韵浓郁为好，滋味欠醇、堆腥味重、仓味浓、</w:t>
      </w:r>
      <w:r>
        <w:rPr>
          <w:rFonts w:hint="eastAsia" w:hAnsi="宋体"/>
          <w:lang w:val="en-US" w:eastAsia="zh-CN"/>
        </w:rPr>
        <w:t>挂喉、</w:t>
      </w:r>
      <w:r>
        <w:rPr>
          <w:rFonts w:hint="eastAsia" w:hAnsi="宋体"/>
        </w:rPr>
        <w:t>带酸馊异杂为差。</w:t>
      </w:r>
    </w:p>
    <w:p>
      <w:pPr>
        <w:pStyle w:val="74"/>
        <w:tabs>
          <w:tab w:val="left" w:pos="360"/>
        </w:tabs>
        <w:rPr>
          <w:rFonts w:ascii="黑体" w:hAnsi="黑体" w:eastAsia="黑体"/>
        </w:rPr>
      </w:pPr>
      <w:r>
        <w:rPr>
          <w:rFonts w:hint="eastAsia" w:ascii="黑体" w:hAnsi="黑体" w:eastAsia="黑体"/>
        </w:rPr>
        <w:t>叶底</w:t>
      </w:r>
    </w:p>
    <w:p>
      <w:pPr>
        <w:pStyle w:val="74"/>
        <w:numPr>
          <w:ilvl w:val="0"/>
          <w:numId w:val="0"/>
        </w:numPr>
        <w:tabs>
          <w:tab w:val="left" w:pos="360"/>
        </w:tabs>
        <w:rPr>
          <w:rFonts w:hAnsi="宋体"/>
        </w:rPr>
      </w:pPr>
      <w:r>
        <w:rPr>
          <w:rFonts w:hint="eastAsia"/>
        </w:rPr>
        <w:t xml:space="preserve">    </w:t>
      </w:r>
      <w:r>
        <w:rPr>
          <w:rFonts w:hint="eastAsia" w:hAnsi="宋体"/>
        </w:rPr>
        <w:t>叶底的嫩度、色泽、明暗、匀整度。</w:t>
      </w:r>
    </w:p>
    <w:p>
      <w:pPr>
        <w:pStyle w:val="87"/>
        <w:spacing w:before="312" w:after="312"/>
      </w:pPr>
      <w:r>
        <w:rPr>
          <w:rFonts w:hint="eastAsia"/>
        </w:rPr>
        <w:t>审评结果</w:t>
      </w:r>
    </w:p>
    <w:p>
      <w:pPr>
        <w:pStyle w:val="14"/>
        <w:rPr>
          <w:rFonts w:hAnsi="宋体"/>
          <w:bCs/>
          <w:szCs w:val="21"/>
        </w:rPr>
      </w:pPr>
      <w:r>
        <w:rPr>
          <w:rFonts w:hint="eastAsia" w:hAnsi="宋体"/>
          <w:bCs/>
          <w:szCs w:val="21"/>
        </w:rPr>
        <w:t>对照实物标准样对每只审评茶样的外形、内质各项审评因子进行评价，并将审评评语及评价结果记入表A</w:t>
      </w:r>
      <w:r>
        <w:rPr>
          <w:rFonts w:ascii="Times New Roman"/>
          <w:bCs/>
          <w:szCs w:val="21"/>
        </w:rPr>
        <w:t>.1</w:t>
      </w:r>
      <w:r>
        <w:rPr>
          <w:rFonts w:hint="eastAsia" w:hAnsi="宋体"/>
          <w:bCs/>
          <w:szCs w:val="21"/>
        </w:rPr>
        <w:t>中。最终产品以实物标准样为对照，</w:t>
      </w:r>
      <w:r>
        <w:rPr>
          <w:rFonts w:hint="eastAsia" w:hAnsi="宋体"/>
          <w:bCs/>
          <w:szCs w:val="21"/>
          <w:lang w:val="en-US" w:eastAsia="zh-CN"/>
        </w:rPr>
        <w:t>产品年份以审评</w:t>
      </w:r>
      <w:r>
        <w:rPr>
          <w:rFonts w:hint="eastAsia" w:hAnsi="宋体"/>
          <w:bCs/>
          <w:szCs w:val="21"/>
        </w:rPr>
        <w:t>结果</w:t>
      </w:r>
      <w:bookmarkStart w:id="22" w:name="_GoBack"/>
      <w:bookmarkEnd w:id="22"/>
      <w:r>
        <w:rPr>
          <w:rFonts w:hint="eastAsia" w:hAnsi="宋体"/>
          <w:bCs/>
          <w:szCs w:val="21"/>
        </w:rPr>
        <w:t>最低年份进行标注。</w:t>
      </w:r>
    </w:p>
    <w:p>
      <w:pPr>
        <w:pStyle w:val="72"/>
        <w:numPr>
          <w:ilvl w:val="1"/>
          <w:numId w:val="0"/>
        </w:numPr>
        <w:spacing w:before="156" w:after="156"/>
        <w:ind w:firstLine="3360" w:firstLineChars="1600"/>
        <w:jc w:val="both"/>
      </w:pPr>
      <w:r>
        <w:rPr>
          <w:rFonts w:hint="eastAsia"/>
        </w:rPr>
        <w:t>表A1年份普洱茶审评记录表</w:t>
      </w:r>
    </w:p>
    <w:tbl>
      <w:tblPr>
        <w:tblStyle w:val="19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063"/>
        <w:gridCol w:w="1063"/>
        <w:gridCol w:w="1063"/>
        <w:gridCol w:w="1063"/>
        <w:gridCol w:w="1063"/>
        <w:gridCol w:w="1064"/>
        <w:gridCol w:w="1064"/>
        <w:gridCol w:w="1064"/>
      </w:tblGrid>
      <w:tr>
        <w:tc>
          <w:tcPr>
            <w:tcW w:w="1063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名称</w:t>
            </w:r>
          </w:p>
        </w:tc>
        <w:tc>
          <w:tcPr>
            <w:tcW w:w="1063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类别</w:t>
            </w:r>
          </w:p>
        </w:tc>
        <w:tc>
          <w:tcPr>
            <w:tcW w:w="2126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外形</w:t>
            </w:r>
          </w:p>
        </w:tc>
        <w:tc>
          <w:tcPr>
            <w:tcW w:w="4254" w:type="dxa"/>
            <w:gridSpan w:val="4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内质</w:t>
            </w:r>
          </w:p>
        </w:tc>
        <w:tc>
          <w:tcPr>
            <w:tcW w:w="1064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评价结果</w:t>
            </w:r>
          </w:p>
        </w:tc>
      </w:tr>
      <w:tr>
        <w:tc>
          <w:tcPr>
            <w:tcW w:w="1063" w:type="dxa"/>
            <w:vMerge w:val="continue"/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外观</w:t>
            </w:r>
          </w:p>
        </w:tc>
        <w:tc>
          <w:tcPr>
            <w:tcW w:w="106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色泽</w:t>
            </w:r>
          </w:p>
        </w:tc>
        <w:tc>
          <w:tcPr>
            <w:tcW w:w="106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汤色</w:t>
            </w:r>
          </w:p>
        </w:tc>
        <w:tc>
          <w:tcPr>
            <w:tcW w:w="106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香气</w:t>
            </w:r>
          </w:p>
        </w:tc>
        <w:tc>
          <w:tcPr>
            <w:tcW w:w="1064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滋味</w:t>
            </w:r>
          </w:p>
        </w:tc>
        <w:tc>
          <w:tcPr>
            <w:tcW w:w="1064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122"/>
              <w:framePr w:hSpace="0" w:vSpace="0" w:wrap="auto" w:vAnchor="margin" w:hAnchor="text" w:xAlign="left" w:yAlign="inline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叶底</w:t>
            </w:r>
          </w:p>
        </w:tc>
        <w:tc>
          <w:tcPr>
            <w:tcW w:w="1064" w:type="dxa"/>
            <w:vMerge w:val="continue"/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c>
          <w:tcPr>
            <w:tcW w:w="106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c>
          <w:tcPr>
            <w:tcW w:w="10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c>
          <w:tcPr>
            <w:tcW w:w="106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</w:tbl>
    <w:p/>
    <w:p>
      <w:pPr>
        <w:pStyle w:val="79"/>
        <w:numPr>
          <w:ilvl w:val="4"/>
          <w:numId w:val="0"/>
        </w:numPr>
        <w:rPr>
          <w:rFonts w:hAnsi="宋体"/>
        </w:rPr>
      </w:pPr>
    </w:p>
    <w:p>
      <w:pPr>
        <w:pStyle w:val="122"/>
        <w:framePr w:wrap="around" w:hAnchor="page" w:x="4080" w:y="1472"/>
      </w:pPr>
      <w:r>
        <w:t>_________________________________</w:t>
      </w:r>
    </w:p>
    <w:p>
      <w:pPr>
        <w:pStyle w:val="14"/>
        <w:ind w:firstLine="0" w:firstLineChars="0"/>
      </w:pPr>
    </w:p>
    <w:sectPr>
      <w:pgSz w:w="11906" w:h="16838"/>
      <w:pgMar w:top="567" w:right="1134" w:bottom="1134" w:left="1418" w:header="1418" w:footer="1134" w:gutter="0"/>
      <w:pgNumType w:start="1"/>
      <w:cols w:space="425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</w:pPr>
    <w:r>
      <w:fldChar w:fldCharType="begin"/>
    </w:r>
    <w:r>
      <w:instrText xml:space="preserve"> PAGE  \* MERGEFORMAT </w:instrText>
    </w:r>
    <w:r>
      <w:fldChar w:fldCharType="separate"/>
    </w:r>
    <w:r>
      <w:t>4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</w:pPr>
    <w:r>
      <w:t>Q/FX 0013 S—2023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43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93C6778"/>
    <w:multiLevelType w:val="multilevel"/>
    <w:tmpl w:val="093C6778"/>
    <w:lvl w:ilvl="0" w:tentative="0">
      <w:start w:val="1"/>
      <w:numFmt w:val="decimal"/>
      <w:pStyle w:val="108"/>
      <w:suff w:val="nothing"/>
      <w:lvlText w:val="示例%1："/>
      <w:lvlJc w:val="left"/>
      <w:pPr>
        <w:ind w:left="0" w:firstLine="397"/>
      </w:pPr>
      <w:rPr>
        <w:rFonts w:hint="eastAsia" w:ascii="黑体" w:eastAsia="黑体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0AE367E9"/>
    <w:multiLevelType w:val="multilevel"/>
    <w:tmpl w:val="0AE367E9"/>
    <w:lvl w:ilvl="0" w:tentative="0">
      <w:start w:val="1"/>
      <w:numFmt w:val="none"/>
      <w:pStyle w:val="37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>
    <w:nsid w:val="0DDE2B46"/>
    <w:multiLevelType w:val="multilevel"/>
    <w:tmpl w:val="0DDE2B46"/>
    <w:lvl w:ilvl="0" w:tentative="0">
      <w:start w:val="1"/>
      <w:numFmt w:val="lowerLetter"/>
      <w:pStyle w:val="113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4">
    <w:nsid w:val="1DBF583A"/>
    <w:multiLevelType w:val="multilevel"/>
    <w:tmpl w:val="1DBF583A"/>
    <w:lvl w:ilvl="0" w:tentative="0">
      <w:start w:val="1"/>
      <w:numFmt w:val="decimal"/>
      <w:pStyle w:val="50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5">
    <w:nsid w:val="1FC91163"/>
    <w:multiLevelType w:val="multilevel"/>
    <w:tmpl w:val="1FC91163"/>
    <w:lvl w:ilvl="0" w:tentative="0">
      <w:start w:val="1"/>
      <w:numFmt w:val="decimal"/>
      <w:pStyle w:val="30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27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3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3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40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41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6">
    <w:nsid w:val="2A8F7113"/>
    <w:multiLevelType w:val="multilevel"/>
    <w:tmpl w:val="2A8F7113"/>
    <w:lvl w:ilvl="0" w:tentative="0">
      <w:start w:val="1"/>
      <w:numFmt w:val="upperLetter"/>
      <w:pStyle w:val="83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84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7">
    <w:nsid w:val="2C5917C3"/>
    <w:multiLevelType w:val="multilevel"/>
    <w:tmpl w:val="2C5917C3"/>
    <w:lvl w:ilvl="0" w:tentative="0">
      <w:start w:val="1"/>
      <w:numFmt w:val="none"/>
      <w:pStyle w:val="3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3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45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8">
    <w:nsid w:val="3D733618"/>
    <w:multiLevelType w:val="multilevel"/>
    <w:tmpl w:val="3D733618"/>
    <w:lvl w:ilvl="0" w:tentative="0">
      <w:start w:val="1"/>
      <w:numFmt w:val="decimal"/>
      <w:pStyle w:val="15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9">
    <w:nsid w:val="44C50F90"/>
    <w:multiLevelType w:val="multilevel"/>
    <w:tmpl w:val="44C50F90"/>
    <w:lvl w:ilvl="0" w:tentative="0">
      <w:start w:val="1"/>
      <w:numFmt w:val="lowerLetter"/>
      <w:pStyle w:val="4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hAnsi="宋体" w:eastAsia="宋体"/>
        <w:b w:val="0"/>
        <w:i w:val="0"/>
        <w:sz w:val="20"/>
        <w:szCs w:val="21"/>
      </w:rPr>
    </w:lvl>
    <w:lvl w:ilvl="1" w:tentative="0">
      <w:start w:val="1"/>
      <w:numFmt w:val="decimal"/>
      <w:pStyle w:val="39"/>
      <w:lvlText w:val="%2)"/>
      <w:lvlJc w:val="left"/>
      <w:pPr>
        <w:tabs>
          <w:tab w:val="left" w:pos="1259"/>
        </w:tabs>
        <w:ind w:left="1259" w:hanging="420"/>
      </w:pPr>
      <w:rPr>
        <w:rFonts w:hint="eastAsia" w:ascii="宋体" w:hAnsi="宋体" w:eastAsia="宋体"/>
        <w:b w:val="0"/>
        <w:i w:val="0"/>
        <w:sz w:val="20"/>
      </w:rPr>
    </w:lvl>
    <w:lvl w:ilvl="2" w:tentative="0">
      <w:start w:val="1"/>
      <w:numFmt w:val="decimal"/>
      <w:pStyle w:val="46"/>
      <w:lvlText w:val="(%3)"/>
      <w:lvlJc w:val="left"/>
      <w:pPr>
        <w:tabs>
          <w:tab w:val="left" w:pos="0"/>
        </w:tabs>
        <w:ind w:left="1678" w:hanging="419"/>
      </w:pPr>
      <w:rPr>
        <w:rFonts w:hint="eastAsia" w:ascii="宋体" w:hAnsi="宋体" w:eastAsia="宋体"/>
        <w:b w:val="0"/>
        <w:i w:val="0"/>
        <w:sz w:val="20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10">
    <w:nsid w:val="4B733A5F"/>
    <w:multiLevelType w:val="multilevel"/>
    <w:tmpl w:val="4B733A5F"/>
    <w:lvl w:ilvl="0" w:tentative="0">
      <w:start w:val="1"/>
      <w:numFmt w:val="decimal"/>
      <w:pStyle w:val="47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1">
    <w:nsid w:val="557C2AF5"/>
    <w:multiLevelType w:val="multilevel"/>
    <w:tmpl w:val="557C2AF5"/>
    <w:lvl w:ilvl="0" w:tentative="0">
      <w:start w:val="1"/>
      <w:numFmt w:val="decimal"/>
      <w:pStyle w:val="12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2">
    <w:nsid w:val="60B55DC2"/>
    <w:multiLevelType w:val="multilevel"/>
    <w:tmpl w:val="60B55DC2"/>
    <w:lvl w:ilvl="0" w:tentative="0">
      <w:start w:val="1"/>
      <w:numFmt w:val="upperLetter"/>
      <w:pStyle w:val="71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72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3">
    <w:nsid w:val="646260FA"/>
    <w:multiLevelType w:val="multilevel"/>
    <w:tmpl w:val="646260FA"/>
    <w:lvl w:ilvl="0" w:tentative="0">
      <w:start w:val="1"/>
      <w:numFmt w:val="decimal"/>
      <w:pStyle w:val="119"/>
      <w:suff w:val="nothing"/>
      <w:lvlText w:val="表%1　"/>
      <w:lvlJc w:val="left"/>
      <w:pPr>
        <w:ind w:left="0" w:firstLine="0"/>
      </w:pPr>
      <w:rPr>
        <w:rFonts w:hint="eastAsia" w:ascii="宋体" w:hAnsi="宋体" w:eastAsia="宋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657D3FBC"/>
    <w:multiLevelType w:val="multilevel"/>
    <w:tmpl w:val="657D3FBC"/>
    <w:lvl w:ilvl="0" w:tentative="0">
      <w:start w:val="1"/>
      <w:numFmt w:val="upperLetter"/>
      <w:pStyle w:val="69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87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88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73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78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81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85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>
    <w:nsid w:val="6D6C07CD"/>
    <w:multiLevelType w:val="multilevel"/>
    <w:tmpl w:val="6D6C07CD"/>
    <w:lvl w:ilvl="0" w:tentative="0">
      <w:start w:val="1"/>
      <w:numFmt w:val="lowerLetter"/>
      <w:pStyle w:val="90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80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6">
    <w:nsid w:val="6DBF04F4"/>
    <w:multiLevelType w:val="multilevel"/>
    <w:tmpl w:val="6DBF04F4"/>
    <w:lvl w:ilvl="0" w:tentative="0">
      <w:start w:val="1"/>
      <w:numFmt w:val="none"/>
      <w:pStyle w:val="42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2"/>
  </w:num>
  <w:num w:numId="5">
    <w:abstractNumId w:val="9"/>
  </w:num>
  <w:num w:numId="6">
    <w:abstractNumId w:val="16"/>
  </w:num>
  <w:num w:numId="7">
    <w:abstractNumId w:val="0"/>
  </w:num>
  <w:num w:numId="8">
    <w:abstractNumId w:val="10"/>
  </w:num>
  <w:num w:numId="9">
    <w:abstractNumId w:val="4"/>
  </w:num>
  <w:num w:numId="10">
    <w:abstractNumId w:val="14"/>
  </w:num>
  <w:num w:numId="11">
    <w:abstractNumId w:val="12"/>
  </w:num>
  <w:num w:numId="12">
    <w:abstractNumId w:val="15"/>
  </w:num>
  <w:num w:numId="13">
    <w:abstractNumId w:val="6"/>
  </w:num>
  <w:num w:numId="14">
    <w:abstractNumId w:val="1"/>
  </w:num>
  <w:num w:numId="15">
    <w:abstractNumId w:val="3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dit="forms" w:enforcement="1" w:cryptProviderType="rsaAES" w:cryptAlgorithmClass="hash" w:cryptAlgorithmType="typeAny" w:cryptAlgorithmSid="14" w:cryptSpinCount="100000" w:hash="ggFz77+8dJXreD1jOEs4BZmw/a+hKH0YdTBLVkCRSBChmCkOVyWMdmfCd4gAwKhuArCpO0G+xtl/KliptMR3fg==" w:salt="m7b0wyn+hTe7HCfskO3sp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DA1"/>
    <w:rsid w:val="00000244"/>
    <w:rsid w:val="0000185F"/>
    <w:rsid w:val="0000586F"/>
    <w:rsid w:val="00013D86"/>
    <w:rsid w:val="00013E02"/>
    <w:rsid w:val="0002143C"/>
    <w:rsid w:val="00025A65"/>
    <w:rsid w:val="00026C31"/>
    <w:rsid w:val="00027280"/>
    <w:rsid w:val="000320A7"/>
    <w:rsid w:val="00035925"/>
    <w:rsid w:val="00067CDF"/>
    <w:rsid w:val="00074FBE"/>
    <w:rsid w:val="00080AE4"/>
    <w:rsid w:val="00083A09"/>
    <w:rsid w:val="0009005E"/>
    <w:rsid w:val="00092857"/>
    <w:rsid w:val="000A20A9"/>
    <w:rsid w:val="000A48B1"/>
    <w:rsid w:val="000B3143"/>
    <w:rsid w:val="000C6B05"/>
    <w:rsid w:val="000C6DD6"/>
    <w:rsid w:val="000C73D4"/>
    <w:rsid w:val="000D3D4C"/>
    <w:rsid w:val="000D4F51"/>
    <w:rsid w:val="000D718B"/>
    <w:rsid w:val="000E0C46"/>
    <w:rsid w:val="000F030C"/>
    <w:rsid w:val="000F129C"/>
    <w:rsid w:val="001056DE"/>
    <w:rsid w:val="001124C0"/>
    <w:rsid w:val="001251B9"/>
    <w:rsid w:val="0013175F"/>
    <w:rsid w:val="001512B4"/>
    <w:rsid w:val="00156760"/>
    <w:rsid w:val="001620A5"/>
    <w:rsid w:val="00164E53"/>
    <w:rsid w:val="0016699D"/>
    <w:rsid w:val="00173306"/>
    <w:rsid w:val="00175159"/>
    <w:rsid w:val="00176208"/>
    <w:rsid w:val="0018211B"/>
    <w:rsid w:val="001840D3"/>
    <w:rsid w:val="001900F8"/>
    <w:rsid w:val="00190A96"/>
    <w:rsid w:val="00191258"/>
    <w:rsid w:val="00192680"/>
    <w:rsid w:val="00193037"/>
    <w:rsid w:val="00193A2C"/>
    <w:rsid w:val="001A288E"/>
    <w:rsid w:val="001B6DC2"/>
    <w:rsid w:val="001C149C"/>
    <w:rsid w:val="001C21AC"/>
    <w:rsid w:val="001C30CC"/>
    <w:rsid w:val="001C47BA"/>
    <w:rsid w:val="001C59EA"/>
    <w:rsid w:val="001D406C"/>
    <w:rsid w:val="001D41EE"/>
    <w:rsid w:val="001E0380"/>
    <w:rsid w:val="001E13B1"/>
    <w:rsid w:val="001F3A19"/>
    <w:rsid w:val="0020345E"/>
    <w:rsid w:val="00234467"/>
    <w:rsid w:val="00237D8D"/>
    <w:rsid w:val="00241DA2"/>
    <w:rsid w:val="00247FEE"/>
    <w:rsid w:val="00250E7D"/>
    <w:rsid w:val="002565D5"/>
    <w:rsid w:val="002622C0"/>
    <w:rsid w:val="002622ED"/>
    <w:rsid w:val="002778AE"/>
    <w:rsid w:val="0028269A"/>
    <w:rsid w:val="00283590"/>
    <w:rsid w:val="00286973"/>
    <w:rsid w:val="00294E70"/>
    <w:rsid w:val="002A0A34"/>
    <w:rsid w:val="002A1924"/>
    <w:rsid w:val="002A7420"/>
    <w:rsid w:val="002B0F12"/>
    <w:rsid w:val="002B1308"/>
    <w:rsid w:val="002B4554"/>
    <w:rsid w:val="002C4FB2"/>
    <w:rsid w:val="002C72D8"/>
    <w:rsid w:val="002D03B1"/>
    <w:rsid w:val="002D11FA"/>
    <w:rsid w:val="002E0DDF"/>
    <w:rsid w:val="002E2906"/>
    <w:rsid w:val="002E5635"/>
    <w:rsid w:val="002E64C3"/>
    <w:rsid w:val="002E6A2C"/>
    <w:rsid w:val="002F1D8C"/>
    <w:rsid w:val="002F21DA"/>
    <w:rsid w:val="00301F39"/>
    <w:rsid w:val="00325926"/>
    <w:rsid w:val="00327A8A"/>
    <w:rsid w:val="003312A5"/>
    <w:rsid w:val="00336610"/>
    <w:rsid w:val="00343F73"/>
    <w:rsid w:val="00345060"/>
    <w:rsid w:val="0035323B"/>
    <w:rsid w:val="003609D2"/>
    <w:rsid w:val="00363F22"/>
    <w:rsid w:val="00375564"/>
    <w:rsid w:val="00377D20"/>
    <w:rsid w:val="00383191"/>
    <w:rsid w:val="00386DED"/>
    <w:rsid w:val="003912E7"/>
    <w:rsid w:val="00393947"/>
    <w:rsid w:val="003946CD"/>
    <w:rsid w:val="00395E50"/>
    <w:rsid w:val="003A2275"/>
    <w:rsid w:val="003A6A4F"/>
    <w:rsid w:val="003A7088"/>
    <w:rsid w:val="003B00DF"/>
    <w:rsid w:val="003B1275"/>
    <w:rsid w:val="003B1778"/>
    <w:rsid w:val="003C11CB"/>
    <w:rsid w:val="003C75F3"/>
    <w:rsid w:val="003C78A3"/>
    <w:rsid w:val="003E1867"/>
    <w:rsid w:val="003E5729"/>
    <w:rsid w:val="003F4EE0"/>
    <w:rsid w:val="00402153"/>
    <w:rsid w:val="00402FC1"/>
    <w:rsid w:val="00403781"/>
    <w:rsid w:val="004221EA"/>
    <w:rsid w:val="00425082"/>
    <w:rsid w:val="00431DEB"/>
    <w:rsid w:val="00446B29"/>
    <w:rsid w:val="00453F9A"/>
    <w:rsid w:val="00471E91"/>
    <w:rsid w:val="00474675"/>
    <w:rsid w:val="0047470C"/>
    <w:rsid w:val="00486BAD"/>
    <w:rsid w:val="004A35F9"/>
    <w:rsid w:val="004B24C1"/>
    <w:rsid w:val="004C292F"/>
    <w:rsid w:val="00510280"/>
    <w:rsid w:val="00513D73"/>
    <w:rsid w:val="00514A43"/>
    <w:rsid w:val="005174E5"/>
    <w:rsid w:val="00522393"/>
    <w:rsid w:val="00522620"/>
    <w:rsid w:val="00525656"/>
    <w:rsid w:val="00532F1E"/>
    <w:rsid w:val="00534C02"/>
    <w:rsid w:val="0054264B"/>
    <w:rsid w:val="00543786"/>
    <w:rsid w:val="005533D7"/>
    <w:rsid w:val="005703DE"/>
    <w:rsid w:val="0058464E"/>
    <w:rsid w:val="005A01CB"/>
    <w:rsid w:val="005A58FF"/>
    <w:rsid w:val="005A5EAF"/>
    <w:rsid w:val="005A64C0"/>
    <w:rsid w:val="005B3C11"/>
    <w:rsid w:val="005C1C28"/>
    <w:rsid w:val="005C6DB5"/>
    <w:rsid w:val="005E19E7"/>
    <w:rsid w:val="0061716C"/>
    <w:rsid w:val="006243A1"/>
    <w:rsid w:val="00632E56"/>
    <w:rsid w:val="00632F03"/>
    <w:rsid w:val="00635CBA"/>
    <w:rsid w:val="0064338B"/>
    <w:rsid w:val="00646542"/>
    <w:rsid w:val="006504F4"/>
    <w:rsid w:val="00654BC9"/>
    <w:rsid w:val="006552FD"/>
    <w:rsid w:val="00661DA1"/>
    <w:rsid w:val="00663AF3"/>
    <w:rsid w:val="00663EDB"/>
    <w:rsid w:val="00666B6C"/>
    <w:rsid w:val="00682682"/>
    <w:rsid w:val="00682702"/>
    <w:rsid w:val="00692368"/>
    <w:rsid w:val="006A2EBC"/>
    <w:rsid w:val="006A5EA0"/>
    <w:rsid w:val="006A783B"/>
    <w:rsid w:val="006A7B33"/>
    <w:rsid w:val="006B4E13"/>
    <w:rsid w:val="006B75DD"/>
    <w:rsid w:val="006C67E0"/>
    <w:rsid w:val="006C7ABA"/>
    <w:rsid w:val="006D0D60"/>
    <w:rsid w:val="006D1122"/>
    <w:rsid w:val="006D3C00"/>
    <w:rsid w:val="006E194B"/>
    <w:rsid w:val="006E3675"/>
    <w:rsid w:val="006E4A7F"/>
    <w:rsid w:val="00704DF6"/>
    <w:rsid w:val="0070651C"/>
    <w:rsid w:val="007132A3"/>
    <w:rsid w:val="00716421"/>
    <w:rsid w:val="0072436F"/>
    <w:rsid w:val="00724EFB"/>
    <w:rsid w:val="007374DB"/>
    <w:rsid w:val="007419C3"/>
    <w:rsid w:val="007467A7"/>
    <w:rsid w:val="007469DD"/>
    <w:rsid w:val="0074741B"/>
    <w:rsid w:val="0074759E"/>
    <w:rsid w:val="007478EA"/>
    <w:rsid w:val="0075415C"/>
    <w:rsid w:val="00763502"/>
    <w:rsid w:val="00784974"/>
    <w:rsid w:val="007913AB"/>
    <w:rsid w:val="007914F7"/>
    <w:rsid w:val="007B1625"/>
    <w:rsid w:val="007B706E"/>
    <w:rsid w:val="007B71EB"/>
    <w:rsid w:val="007C6205"/>
    <w:rsid w:val="007C686A"/>
    <w:rsid w:val="007C728E"/>
    <w:rsid w:val="007D2C53"/>
    <w:rsid w:val="007D3D60"/>
    <w:rsid w:val="007E1980"/>
    <w:rsid w:val="007E4B76"/>
    <w:rsid w:val="007E5EA8"/>
    <w:rsid w:val="007E6106"/>
    <w:rsid w:val="007F0CF1"/>
    <w:rsid w:val="007F12A5"/>
    <w:rsid w:val="007F4CF1"/>
    <w:rsid w:val="007F758D"/>
    <w:rsid w:val="007F7D52"/>
    <w:rsid w:val="00802CFC"/>
    <w:rsid w:val="0080654C"/>
    <w:rsid w:val="008071C6"/>
    <w:rsid w:val="00811F6C"/>
    <w:rsid w:val="008167CB"/>
    <w:rsid w:val="00817A00"/>
    <w:rsid w:val="00835DB3"/>
    <w:rsid w:val="0083617B"/>
    <w:rsid w:val="008371BD"/>
    <w:rsid w:val="008504A8"/>
    <w:rsid w:val="0085282E"/>
    <w:rsid w:val="0087198C"/>
    <w:rsid w:val="00872C1F"/>
    <w:rsid w:val="00873B42"/>
    <w:rsid w:val="008856D8"/>
    <w:rsid w:val="00892E82"/>
    <w:rsid w:val="008C1B58"/>
    <w:rsid w:val="008C39AE"/>
    <w:rsid w:val="008C3D86"/>
    <w:rsid w:val="008C590D"/>
    <w:rsid w:val="008D72A5"/>
    <w:rsid w:val="008E031B"/>
    <w:rsid w:val="008E7029"/>
    <w:rsid w:val="008E7EF6"/>
    <w:rsid w:val="008F1F98"/>
    <w:rsid w:val="008F6758"/>
    <w:rsid w:val="009040DD"/>
    <w:rsid w:val="00905B47"/>
    <w:rsid w:val="0091331C"/>
    <w:rsid w:val="009279DE"/>
    <w:rsid w:val="00930116"/>
    <w:rsid w:val="0094212C"/>
    <w:rsid w:val="00954689"/>
    <w:rsid w:val="009617C9"/>
    <w:rsid w:val="00961C93"/>
    <w:rsid w:val="00965324"/>
    <w:rsid w:val="0097091E"/>
    <w:rsid w:val="009760D3"/>
    <w:rsid w:val="00977132"/>
    <w:rsid w:val="00981A4B"/>
    <w:rsid w:val="00982501"/>
    <w:rsid w:val="009877D3"/>
    <w:rsid w:val="00994E8F"/>
    <w:rsid w:val="009951DC"/>
    <w:rsid w:val="009959BB"/>
    <w:rsid w:val="009962DA"/>
    <w:rsid w:val="00997158"/>
    <w:rsid w:val="009A3A7C"/>
    <w:rsid w:val="009B2ADB"/>
    <w:rsid w:val="009B603A"/>
    <w:rsid w:val="009C2D0E"/>
    <w:rsid w:val="009C3DAC"/>
    <w:rsid w:val="009C42E0"/>
    <w:rsid w:val="009D5362"/>
    <w:rsid w:val="009E0A4C"/>
    <w:rsid w:val="009E1415"/>
    <w:rsid w:val="009E6116"/>
    <w:rsid w:val="00A02E43"/>
    <w:rsid w:val="00A065F9"/>
    <w:rsid w:val="00A07F34"/>
    <w:rsid w:val="00A22154"/>
    <w:rsid w:val="00A25C38"/>
    <w:rsid w:val="00A36BBE"/>
    <w:rsid w:val="00A4307A"/>
    <w:rsid w:val="00A467F5"/>
    <w:rsid w:val="00A47EBB"/>
    <w:rsid w:val="00A51CDD"/>
    <w:rsid w:val="00A5563B"/>
    <w:rsid w:val="00A6730D"/>
    <w:rsid w:val="00A714B3"/>
    <w:rsid w:val="00A71625"/>
    <w:rsid w:val="00A71B9B"/>
    <w:rsid w:val="00A751C7"/>
    <w:rsid w:val="00A87844"/>
    <w:rsid w:val="00AA038C"/>
    <w:rsid w:val="00AA7A09"/>
    <w:rsid w:val="00AB311F"/>
    <w:rsid w:val="00AB3B50"/>
    <w:rsid w:val="00AC05B1"/>
    <w:rsid w:val="00AC4E6E"/>
    <w:rsid w:val="00AD356C"/>
    <w:rsid w:val="00AE2914"/>
    <w:rsid w:val="00AE6D15"/>
    <w:rsid w:val="00AF5432"/>
    <w:rsid w:val="00B04182"/>
    <w:rsid w:val="00B07AE3"/>
    <w:rsid w:val="00B11430"/>
    <w:rsid w:val="00B353EB"/>
    <w:rsid w:val="00B35A78"/>
    <w:rsid w:val="00B439C4"/>
    <w:rsid w:val="00B4535E"/>
    <w:rsid w:val="00B52A8C"/>
    <w:rsid w:val="00B636A8"/>
    <w:rsid w:val="00B665C6"/>
    <w:rsid w:val="00B805AF"/>
    <w:rsid w:val="00B869EC"/>
    <w:rsid w:val="00B9397A"/>
    <w:rsid w:val="00B9633D"/>
    <w:rsid w:val="00BA2EBE"/>
    <w:rsid w:val="00BB0F28"/>
    <w:rsid w:val="00BB458A"/>
    <w:rsid w:val="00BD00D3"/>
    <w:rsid w:val="00BD1659"/>
    <w:rsid w:val="00BD3AA9"/>
    <w:rsid w:val="00BD4A18"/>
    <w:rsid w:val="00BD6DB2"/>
    <w:rsid w:val="00BE11CF"/>
    <w:rsid w:val="00BE21AB"/>
    <w:rsid w:val="00BE55CB"/>
    <w:rsid w:val="00BF617A"/>
    <w:rsid w:val="00C0379D"/>
    <w:rsid w:val="00C03931"/>
    <w:rsid w:val="00C05FE3"/>
    <w:rsid w:val="00C111CD"/>
    <w:rsid w:val="00C2136D"/>
    <w:rsid w:val="00C214EE"/>
    <w:rsid w:val="00C2314B"/>
    <w:rsid w:val="00C24971"/>
    <w:rsid w:val="00C26BE5"/>
    <w:rsid w:val="00C26E4D"/>
    <w:rsid w:val="00C27909"/>
    <w:rsid w:val="00C27B03"/>
    <w:rsid w:val="00C314E1"/>
    <w:rsid w:val="00C34397"/>
    <w:rsid w:val="00C4095D"/>
    <w:rsid w:val="00C50F47"/>
    <w:rsid w:val="00C601D2"/>
    <w:rsid w:val="00C65BCC"/>
    <w:rsid w:val="00C66970"/>
    <w:rsid w:val="00C8691C"/>
    <w:rsid w:val="00C977B1"/>
    <w:rsid w:val="00CA168A"/>
    <w:rsid w:val="00CA357E"/>
    <w:rsid w:val="00CA44F9"/>
    <w:rsid w:val="00CA4A69"/>
    <w:rsid w:val="00CC3E0C"/>
    <w:rsid w:val="00CC58D3"/>
    <w:rsid w:val="00CC784D"/>
    <w:rsid w:val="00CE2A51"/>
    <w:rsid w:val="00D0337B"/>
    <w:rsid w:val="00D079B2"/>
    <w:rsid w:val="00D114E9"/>
    <w:rsid w:val="00D429C6"/>
    <w:rsid w:val="00D47748"/>
    <w:rsid w:val="00D5332B"/>
    <w:rsid w:val="00D54CC3"/>
    <w:rsid w:val="00D6041A"/>
    <w:rsid w:val="00D633EB"/>
    <w:rsid w:val="00D7241B"/>
    <w:rsid w:val="00D82FF7"/>
    <w:rsid w:val="00D847FE"/>
    <w:rsid w:val="00D964EA"/>
    <w:rsid w:val="00D966D0"/>
    <w:rsid w:val="00DA018D"/>
    <w:rsid w:val="00DA0C59"/>
    <w:rsid w:val="00DA3991"/>
    <w:rsid w:val="00DB27C8"/>
    <w:rsid w:val="00DB7E6C"/>
    <w:rsid w:val="00DD5A29"/>
    <w:rsid w:val="00DD5D9D"/>
    <w:rsid w:val="00DE35CB"/>
    <w:rsid w:val="00DF21E9"/>
    <w:rsid w:val="00E00F14"/>
    <w:rsid w:val="00E06386"/>
    <w:rsid w:val="00E24EB4"/>
    <w:rsid w:val="00E320ED"/>
    <w:rsid w:val="00E33AFB"/>
    <w:rsid w:val="00E34218"/>
    <w:rsid w:val="00E46282"/>
    <w:rsid w:val="00E5216E"/>
    <w:rsid w:val="00E82344"/>
    <w:rsid w:val="00E84C82"/>
    <w:rsid w:val="00E84D64"/>
    <w:rsid w:val="00E87408"/>
    <w:rsid w:val="00E914C4"/>
    <w:rsid w:val="00E934F5"/>
    <w:rsid w:val="00E94C60"/>
    <w:rsid w:val="00E96961"/>
    <w:rsid w:val="00EA72EC"/>
    <w:rsid w:val="00EB11CB"/>
    <w:rsid w:val="00EB275A"/>
    <w:rsid w:val="00EB786A"/>
    <w:rsid w:val="00EC1578"/>
    <w:rsid w:val="00EC1C72"/>
    <w:rsid w:val="00EC3CC9"/>
    <w:rsid w:val="00EC680A"/>
    <w:rsid w:val="00EE2BED"/>
    <w:rsid w:val="00EE374B"/>
    <w:rsid w:val="00F11BB5"/>
    <w:rsid w:val="00F1417B"/>
    <w:rsid w:val="00F34B99"/>
    <w:rsid w:val="00F501B7"/>
    <w:rsid w:val="00F52DAB"/>
    <w:rsid w:val="00F543F0"/>
    <w:rsid w:val="00F6590C"/>
    <w:rsid w:val="00F81D29"/>
    <w:rsid w:val="00F91C4D"/>
    <w:rsid w:val="00F92FD9"/>
    <w:rsid w:val="00FA5119"/>
    <w:rsid w:val="00FA6684"/>
    <w:rsid w:val="00FA731E"/>
    <w:rsid w:val="00FB07CF"/>
    <w:rsid w:val="00FB2B38"/>
    <w:rsid w:val="00FC6358"/>
    <w:rsid w:val="00FD12B5"/>
    <w:rsid w:val="00FD320D"/>
    <w:rsid w:val="00FE23DE"/>
    <w:rsid w:val="073EE904"/>
    <w:rsid w:val="2AEF2DA6"/>
    <w:rsid w:val="3BBECC13"/>
    <w:rsid w:val="3D4C22EE"/>
    <w:rsid w:val="3FEEDB30"/>
    <w:rsid w:val="3FFF5C37"/>
    <w:rsid w:val="53FA4C5F"/>
    <w:rsid w:val="559AD8DC"/>
    <w:rsid w:val="597D24FB"/>
    <w:rsid w:val="5BFDBFB2"/>
    <w:rsid w:val="5BFF954A"/>
    <w:rsid w:val="5EFE1650"/>
    <w:rsid w:val="5FFC296A"/>
    <w:rsid w:val="6ACD130B"/>
    <w:rsid w:val="6C7F2D9B"/>
    <w:rsid w:val="6EDBF10C"/>
    <w:rsid w:val="6EE4279E"/>
    <w:rsid w:val="729D5336"/>
    <w:rsid w:val="76BBF3BE"/>
    <w:rsid w:val="76EBB0B5"/>
    <w:rsid w:val="77BFA235"/>
    <w:rsid w:val="7DBFD152"/>
    <w:rsid w:val="7E1F728B"/>
    <w:rsid w:val="7E672ECB"/>
    <w:rsid w:val="7FB710BD"/>
    <w:rsid w:val="7FBE2804"/>
    <w:rsid w:val="7FBF8806"/>
    <w:rsid w:val="7FCF31BD"/>
    <w:rsid w:val="8F3F55CB"/>
    <w:rsid w:val="9EFB7C97"/>
    <w:rsid w:val="9EFECBF6"/>
    <w:rsid w:val="9F73C0F7"/>
    <w:rsid w:val="ADCC54DD"/>
    <w:rsid w:val="C4A57DBC"/>
    <w:rsid w:val="D6DB08A6"/>
    <w:rsid w:val="DB7F3DD9"/>
    <w:rsid w:val="EDFFA27D"/>
    <w:rsid w:val="F5DD1281"/>
    <w:rsid w:val="F79F9692"/>
    <w:rsid w:val="FAEA1A73"/>
    <w:rsid w:val="FB6341F4"/>
    <w:rsid w:val="FB8F0BA5"/>
    <w:rsid w:val="FDF70DB9"/>
    <w:rsid w:val="FE7B384B"/>
    <w:rsid w:val="FF64BDBD"/>
    <w:rsid w:val="FFDB3B9D"/>
    <w:rsid w:val="FFDD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name="endnote reference"/>
    <w:lsdException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iPriority w:val="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3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4">
    <w:name w:val="index 5"/>
    <w:basedOn w:val="1"/>
    <w:next w:val="1"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5">
    <w:name w:val="Document Map"/>
    <w:basedOn w:val="1"/>
    <w:semiHidden/>
    <w:uiPriority w:val="0"/>
    <w:pPr>
      <w:shd w:val="clear" w:color="auto" w:fill="000080"/>
    </w:pPr>
  </w:style>
  <w:style w:type="paragraph" w:styleId="6">
    <w:name w:val="index 6"/>
    <w:basedOn w:val="1"/>
    <w:next w:val="1"/>
    <w:uiPriority w:val="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">
    <w:name w:val="index 4"/>
    <w:basedOn w:val="1"/>
    <w:next w:val="1"/>
    <w:uiPriority w:val="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8">
    <w:name w:val="index 3"/>
    <w:basedOn w:val="1"/>
    <w:next w:val="1"/>
    <w:uiPriority w:val="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9">
    <w:name w:val="endnote text"/>
    <w:basedOn w:val="1"/>
    <w:semiHidden/>
    <w:uiPriority w:val="0"/>
    <w:pPr>
      <w:snapToGrid w:val="0"/>
      <w:jc w:val="left"/>
    </w:pPr>
  </w:style>
  <w:style w:type="paragraph" w:styleId="10">
    <w:name w:val="footer"/>
    <w:basedOn w:val="1"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11">
    <w:name w:val="header"/>
    <w:basedOn w:val="1"/>
    <w:uiPriority w:val="0"/>
    <w:pPr>
      <w:snapToGrid w:val="0"/>
      <w:jc w:val="left"/>
    </w:pPr>
    <w:rPr>
      <w:sz w:val="18"/>
      <w:szCs w:val="18"/>
    </w:rPr>
  </w:style>
  <w:style w:type="paragraph" w:styleId="12">
    <w:name w:val="index heading"/>
    <w:basedOn w:val="1"/>
    <w:next w:val="13"/>
    <w:uiPriority w:val="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3">
    <w:name w:val="index 1"/>
    <w:basedOn w:val="1"/>
    <w:next w:val="14"/>
    <w:uiPriority w:val="0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14">
    <w:name w:val="段"/>
    <w:link w:val="26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5">
    <w:name w:val="footnote text"/>
    <w:basedOn w:val="1"/>
    <w:uiPriority w:val="0"/>
    <w:pPr>
      <w:numPr>
        <w:ilvl w:val="0"/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16">
    <w:name w:val="index 7"/>
    <w:basedOn w:val="1"/>
    <w:next w:val="1"/>
    <w:uiPriority w:val="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17">
    <w:name w:val="index 9"/>
    <w:basedOn w:val="1"/>
    <w:next w:val="1"/>
    <w:uiPriority w:val="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18">
    <w:name w:val="index 2"/>
    <w:basedOn w:val="1"/>
    <w:next w:val="1"/>
    <w:uiPriority w:val="0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20">
    <w:name w:val="Table Grid"/>
    <w:basedOn w:val="19"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2">
    <w:name w:val="endnote reference"/>
    <w:basedOn w:val="21"/>
    <w:semiHidden/>
    <w:uiPriority w:val="0"/>
    <w:rPr>
      <w:vertAlign w:val="superscript"/>
    </w:rPr>
  </w:style>
  <w:style w:type="character" w:styleId="23">
    <w:name w:val="page number"/>
    <w:basedOn w:val="21"/>
    <w:uiPriority w:val="0"/>
    <w:rPr>
      <w:rFonts w:ascii="Times New Roman" w:hAnsi="Times New Roman" w:eastAsia="宋体"/>
      <w:sz w:val="18"/>
    </w:rPr>
  </w:style>
  <w:style w:type="character" w:styleId="24">
    <w:name w:val="Hyperlink"/>
    <w:basedOn w:val="21"/>
    <w:uiPriority w:val="0"/>
    <w:rPr>
      <w:color w:val="0000FF"/>
      <w:spacing w:val="0"/>
      <w:w w:val="100"/>
      <w:szCs w:val="21"/>
      <w:u w:val="single"/>
    </w:rPr>
  </w:style>
  <w:style w:type="character" w:styleId="25">
    <w:name w:val="footnote reference"/>
    <w:basedOn w:val="21"/>
    <w:semiHidden/>
    <w:uiPriority w:val="0"/>
    <w:rPr>
      <w:vertAlign w:val="superscript"/>
    </w:rPr>
  </w:style>
  <w:style w:type="character" w:customStyle="1" w:styleId="26">
    <w:name w:val="段 Char"/>
    <w:basedOn w:val="21"/>
    <w:link w:val="14"/>
    <w:uiPriority w:val="0"/>
    <w:rPr>
      <w:rFonts w:ascii="宋体"/>
      <w:sz w:val="21"/>
      <w:lang w:val="en-US" w:eastAsia="zh-CN" w:bidi="ar-SA"/>
    </w:rPr>
  </w:style>
  <w:style w:type="paragraph" w:customStyle="1" w:styleId="27">
    <w:name w:val="一级条标题"/>
    <w:next w:val="14"/>
    <w:uiPriority w:val="0"/>
    <w:pPr>
      <w:numPr>
        <w:ilvl w:val="1"/>
        <w:numId w:val="2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8">
    <w:name w:val="标准书脚_奇数页"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29">
    <w:name w:val="标准书眉_奇数页"/>
    <w:next w:val="1"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30">
    <w:name w:val="章标题"/>
    <w:next w:val="14"/>
    <w:qFormat/>
    <w:uiPriority w:val="0"/>
    <w:pPr>
      <w:numPr>
        <w:ilvl w:val="0"/>
        <w:numId w:val="2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1">
    <w:name w:val="二级条标题"/>
    <w:basedOn w:val="27"/>
    <w:next w:val="14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32">
    <w:name w:val="封面标准号2"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33">
    <w:name w:val="列项——（一级）"/>
    <w:uiPriority w:val="0"/>
    <w:pPr>
      <w:widowControl w:val="0"/>
      <w:numPr>
        <w:ilvl w:val="0"/>
        <w:numId w:val="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4">
    <w:name w:val="列项●（二级）"/>
    <w:uiPriority w:val="0"/>
    <w:pPr>
      <w:numPr>
        <w:ilvl w:val="1"/>
        <w:numId w:val="3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5">
    <w:name w:val="目次、标准名称标题"/>
    <w:basedOn w:val="1"/>
    <w:next w:val="14"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36">
    <w:name w:val="三级条标题"/>
    <w:basedOn w:val="31"/>
    <w:next w:val="14"/>
    <w:uiPriority w:val="0"/>
    <w:pPr>
      <w:numPr>
        <w:ilvl w:val="3"/>
      </w:numPr>
      <w:outlineLvl w:val="4"/>
    </w:pPr>
  </w:style>
  <w:style w:type="paragraph" w:customStyle="1" w:styleId="37">
    <w:name w:val="示例"/>
    <w:next w:val="38"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38">
    <w:name w:val="示例内容"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39">
    <w:name w:val="数字编号列项（二级）"/>
    <w:uiPriority w:val="0"/>
    <w:pPr>
      <w:numPr>
        <w:ilvl w:val="1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0">
    <w:name w:val="四级条标题"/>
    <w:basedOn w:val="36"/>
    <w:next w:val="14"/>
    <w:qFormat/>
    <w:uiPriority w:val="0"/>
    <w:pPr>
      <w:numPr>
        <w:ilvl w:val="4"/>
      </w:numPr>
      <w:outlineLvl w:val="5"/>
    </w:pPr>
  </w:style>
  <w:style w:type="paragraph" w:customStyle="1" w:styleId="41">
    <w:name w:val="五级条标题"/>
    <w:basedOn w:val="40"/>
    <w:next w:val="14"/>
    <w:uiPriority w:val="0"/>
    <w:pPr>
      <w:numPr>
        <w:ilvl w:val="5"/>
      </w:numPr>
      <w:outlineLvl w:val="6"/>
    </w:pPr>
  </w:style>
  <w:style w:type="paragraph" w:customStyle="1" w:styleId="42">
    <w:name w:val="注："/>
    <w:next w:val="14"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3">
    <w:name w:val="注×："/>
    <w:uiPriority w:val="0"/>
    <w:pPr>
      <w:widowControl w:val="0"/>
      <w:numPr>
        <w:ilvl w:val="0"/>
        <w:numId w:val="7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4">
    <w:name w:val="字母编号列项（一级）"/>
    <w:uiPriority w:val="0"/>
    <w:pPr>
      <w:numPr>
        <w:ilvl w:val="0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5">
    <w:name w:val="列项◆（三级）"/>
    <w:basedOn w:val="1"/>
    <w:uiPriority w:val="0"/>
    <w:pPr>
      <w:numPr>
        <w:ilvl w:val="2"/>
        <w:numId w:val="3"/>
      </w:numPr>
    </w:pPr>
    <w:rPr>
      <w:rFonts w:ascii="宋体"/>
      <w:szCs w:val="21"/>
    </w:rPr>
  </w:style>
  <w:style w:type="paragraph" w:customStyle="1" w:styleId="46">
    <w:name w:val="编号列项（三级）"/>
    <w:uiPriority w:val="0"/>
    <w:pPr>
      <w:numPr>
        <w:ilvl w:val="2"/>
        <w:numId w:val="5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7">
    <w:name w:val="示例×："/>
    <w:basedOn w:val="30"/>
    <w:qFormat/>
    <w:uiPriority w:val="0"/>
    <w:pPr>
      <w:numPr>
        <w:numId w:val="8"/>
      </w:numPr>
      <w:spacing w:before="0" w:beforeLines="0" w:after="0" w:afterLines="0"/>
      <w:outlineLvl w:val="9"/>
    </w:pPr>
    <w:rPr>
      <w:rFonts w:ascii="宋体" w:eastAsia="宋体"/>
      <w:sz w:val="18"/>
      <w:szCs w:val="18"/>
    </w:rPr>
  </w:style>
  <w:style w:type="paragraph" w:customStyle="1" w:styleId="48">
    <w:name w:val="二级无"/>
    <w:basedOn w:val="31"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49">
    <w:name w:val="注：（正文）"/>
    <w:basedOn w:val="42"/>
    <w:next w:val="14"/>
    <w:uiPriority w:val="0"/>
  </w:style>
  <w:style w:type="paragraph" w:customStyle="1" w:styleId="50">
    <w:name w:val="注×：（正文）"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1">
    <w:name w:val="标准标志"/>
    <w:next w:val="1"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52">
    <w:name w:val="标准称谓"/>
    <w:next w:val="1"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53">
    <w:name w:val="标准书脚_偶数页"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4">
    <w:name w:val="标准书眉_偶数页"/>
    <w:basedOn w:val="29"/>
    <w:next w:val="1"/>
    <w:uiPriority w:val="0"/>
    <w:pPr>
      <w:jc w:val="left"/>
    </w:pPr>
  </w:style>
  <w:style w:type="paragraph" w:customStyle="1" w:styleId="55">
    <w:name w:val="标准书眉一"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6">
    <w:name w:val="参考文献"/>
    <w:basedOn w:val="1"/>
    <w:next w:val="14"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57">
    <w:name w:val="参考文献、索引标题"/>
    <w:basedOn w:val="1"/>
    <w:next w:val="14"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58">
    <w:name w:val="发布"/>
    <w:basedOn w:val="21"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59">
    <w:name w:val="发布部门"/>
    <w:next w:val="14"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60">
    <w:name w:val="发布日期"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61">
    <w:name w:val="封面标准代替信息"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62">
    <w:name w:val="封面标准号1"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63">
    <w:name w:val="封面标准名称"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64">
    <w:name w:val="封面标准英文名称"/>
    <w:basedOn w:val="63"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65">
    <w:name w:val="封面一致性程度标识"/>
    <w:basedOn w:val="64"/>
    <w:uiPriority w:val="0"/>
    <w:pPr>
      <w:framePr w:wrap="around"/>
      <w:spacing w:before="440"/>
    </w:pPr>
    <w:rPr>
      <w:rFonts w:ascii="宋体" w:eastAsia="宋体"/>
    </w:rPr>
  </w:style>
  <w:style w:type="paragraph" w:customStyle="1" w:styleId="66">
    <w:name w:val="封面标准文稿类别"/>
    <w:basedOn w:val="65"/>
    <w:uiPriority w:val="0"/>
    <w:pPr>
      <w:framePr w:wrap="around"/>
      <w:spacing w:after="160" w:line="240" w:lineRule="auto"/>
    </w:pPr>
    <w:rPr>
      <w:sz w:val="24"/>
    </w:rPr>
  </w:style>
  <w:style w:type="paragraph" w:customStyle="1" w:styleId="67">
    <w:name w:val="封面标准文稿编辑信息"/>
    <w:basedOn w:val="66"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68">
    <w:name w:val="封面正文"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69">
    <w:name w:val="附录标识"/>
    <w:basedOn w:val="1"/>
    <w:next w:val="14"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70">
    <w:name w:val="附录标题"/>
    <w:basedOn w:val="14"/>
    <w:next w:val="14"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71">
    <w:name w:val="附录表标号"/>
    <w:basedOn w:val="1"/>
    <w:next w:val="14"/>
    <w:uiPriority w:val="0"/>
    <w:pPr>
      <w:numPr>
        <w:ilvl w:val="0"/>
        <w:numId w:val="1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72">
    <w:name w:val="附录表标题"/>
    <w:basedOn w:val="1"/>
    <w:next w:val="14"/>
    <w:uiPriority w:val="0"/>
    <w:pPr>
      <w:numPr>
        <w:ilvl w:val="1"/>
        <w:numId w:val="1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73">
    <w:name w:val="附录二级条标题"/>
    <w:basedOn w:val="1"/>
    <w:next w:val="14"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74">
    <w:name w:val="附录二级无"/>
    <w:basedOn w:val="73"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75">
    <w:name w:val="附录公式"/>
    <w:basedOn w:val="14"/>
    <w:next w:val="14"/>
    <w:link w:val="76"/>
    <w:qFormat/>
    <w:uiPriority w:val="0"/>
  </w:style>
  <w:style w:type="character" w:customStyle="1" w:styleId="76">
    <w:name w:val="附录公式 Char"/>
    <w:basedOn w:val="26"/>
    <w:link w:val="75"/>
    <w:uiPriority w:val="0"/>
    <w:rPr>
      <w:rFonts w:ascii="宋体"/>
      <w:sz w:val="21"/>
      <w:lang w:val="en-US" w:eastAsia="zh-CN" w:bidi="ar-SA"/>
    </w:rPr>
  </w:style>
  <w:style w:type="paragraph" w:customStyle="1" w:styleId="77">
    <w:name w:val="附录公式编号制表符"/>
    <w:basedOn w:val="1"/>
    <w:next w:val="14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78">
    <w:name w:val="附录三级条标题"/>
    <w:basedOn w:val="73"/>
    <w:next w:val="14"/>
    <w:uiPriority w:val="0"/>
    <w:pPr>
      <w:numPr>
        <w:ilvl w:val="4"/>
      </w:numPr>
      <w:outlineLvl w:val="4"/>
    </w:pPr>
  </w:style>
  <w:style w:type="paragraph" w:customStyle="1" w:styleId="79">
    <w:name w:val="附录三级无"/>
    <w:basedOn w:val="78"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80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1">
    <w:name w:val="附录四级条标题"/>
    <w:basedOn w:val="78"/>
    <w:next w:val="14"/>
    <w:uiPriority w:val="0"/>
    <w:pPr>
      <w:numPr>
        <w:ilvl w:val="5"/>
      </w:numPr>
      <w:outlineLvl w:val="5"/>
    </w:pPr>
  </w:style>
  <w:style w:type="paragraph" w:customStyle="1" w:styleId="82">
    <w:name w:val="附录四级无"/>
    <w:basedOn w:val="81"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83">
    <w:name w:val="附录图标号"/>
    <w:basedOn w:val="1"/>
    <w:uiPriority w:val="0"/>
    <w:pPr>
      <w:keepNext/>
      <w:pageBreakBefore/>
      <w:widowControl/>
      <w:numPr>
        <w:ilvl w:val="0"/>
        <w:numId w:val="1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84">
    <w:name w:val="附录图标题"/>
    <w:basedOn w:val="1"/>
    <w:next w:val="14"/>
    <w:uiPriority w:val="0"/>
    <w:pPr>
      <w:numPr>
        <w:ilvl w:val="1"/>
        <w:numId w:val="1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85">
    <w:name w:val="附录五级条标题"/>
    <w:basedOn w:val="81"/>
    <w:next w:val="14"/>
    <w:uiPriority w:val="0"/>
    <w:pPr>
      <w:numPr>
        <w:ilvl w:val="6"/>
      </w:numPr>
      <w:outlineLvl w:val="6"/>
    </w:pPr>
  </w:style>
  <w:style w:type="paragraph" w:customStyle="1" w:styleId="86">
    <w:name w:val="附录五级无"/>
    <w:basedOn w:val="85"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87">
    <w:name w:val="附录章标题"/>
    <w:next w:val="14"/>
    <w:uiPriority w:val="0"/>
    <w:pPr>
      <w:numPr>
        <w:ilvl w:val="1"/>
        <w:numId w:val="10"/>
      </w:numPr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8">
    <w:name w:val="附录一级条标题"/>
    <w:basedOn w:val="87"/>
    <w:next w:val="14"/>
    <w:uiPriority w:val="0"/>
    <w:pPr>
      <w:numPr>
        <w:ilvl w:val="2"/>
      </w:numPr>
      <w:autoSpaceDN w:val="0"/>
      <w:spacing w:before="50" w:beforeLines="50" w:after="50" w:afterLines="50"/>
      <w:outlineLvl w:val="2"/>
    </w:pPr>
  </w:style>
  <w:style w:type="paragraph" w:customStyle="1" w:styleId="89">
    <w:name w:val="附录一级无"/>
    <w:basedOn w:val="88"/>
    <w:uiPriority w:val="0"/>
    <w:pPr>
      <w:spacing w:before="0" w:beforeLines="0" w:after="0" w:afterLines="0"/>
    </w:pPr>
    <w:rPr>
      <w:rFonts w:ascii="宋体" w:eastAsia="宋体"/>
      <w:szCs w:val="21"/>
    </w:rPr>
  </w:style>
  <w:style w:type="paragraph" w:customStyle="1" w:styleId="90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1">
    <w:name w:val="列项说明"/>
    <w:basedOn w:val="1"/>
    <w:uiPriority w:val="0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92">
    <w:name w:val="列项说明数字编号"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3">
    <w:name w:val="目次、索引正文"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4">
    <w:name w:val="目录 31"/>
    <w:basedOn w:val="1"/>
    <w:next w:val="1"/>
    <w:semiHidden/>
    <w:uiPriority w:val="0"/>
    <w:pPr>
      <w:tabs>
        <w:tab w:val="right" w:leader="dot" w:pos="9241"/>
      </w:tabs>
      <w:ind w:firstLine="100" w:firstLineChars="100"/>
      <w:jc w:val="left"/>
    </w:pPr>
    <w:rPr>
      <w:rFonts w:ascii="宋体"/>
      <w:szCs w:val="21"/>
    </w:rPr>
  </w:style>
  <w:style w:type="paragraph" w:customStyle="1" w:styleId="95">
    <w:name w:val="目录 41"/>
    <w:basedOn w:val="1"/>
    <w:next w:val="1"/>
    <w:semiHidden/>
    <w:uiPriority w:val="0"/>
    <w:pPr>
      <w:tabs>
        <w:tab w:val="right" w:leader="dot" w:pos="9241"/>
      </w:tabs>
      <w:ind w:firstLine="200" w:firstLineChars="200"/>
      <w:jc w:val="left"/>
    </w:pPr>
    <w:rPr>
      <w:rFonts w:ascii="宋体"/>
      <w:szCs w:val="21"/>
    </w:rPr>
  </w:style>
  <w:style w:type="paragraph" w:customStyle="1" w:styleId="96">
    <w:name w:val="目录 51"/>
    <w:basedOn w:val="1"/>
    <w:next w:val="1"/>
    <w:semiHidden/>
    <w:uiPriority w:val="0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customStyle="1" w:styleId="97">
    <w:name w:val="目录 61"/>
    <w:basedOn w:val="1"/>
    <w:next w:val="1"/>
    <w:semiHidden/>
    <w:uiPriority w:val="0"/>
    <w:pPr>
      <w:tabs>
        <w:tab w:val="right" w:leader="dot" w:pos="9241"/>
      </w:tabs>
      <w:ind w:firstLine="400" w:firstLineChars="400"/>
      <w:jc w:val="left"/>
    </w:pPr>
    <w:rPr>
      <w:rFonts w:ascii="宋体"/>
      <w:szCs w:val="21"/>
    </w:rPr>
  </w:style>
  <w:style w:type="paragraph" w:customStyle="1" w:styleId="98">
    <w:name w:val="目录 71"/>
    <w:basedOn w:val="1"/>
    <w:next w:val="1"/>
    <w:semiHidden/>
    <w:uiPriority w:val="0"/>
    <w:pPr>
      <w:tabs>
        <w:tab w:val="right" w:leader="dot" w:pos="9241"/>
      </w:tabs>
      <w:ind w:firstLine="500" w:firstLineChars="500"/>
      <w:jc w:val="left"/>
    </w:pPr>
    <w:rPr>
      <w:rFonts w:ascii="宋体"/>
      <w:szCs w:val="21"/>
    </w:rPr>
  </w:style>
  <w:style w:type="paragraph" w:customStyle="1" w:styleId="99">
    <w:name w:val="目录 81"/>
    <w:basedOn w:val="1"/>
    <w:next w:val="1"/>
    <w:semiHidden/>
    <w:uiPriority w:val="0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customStyle="1" w:styleId="100">
    <w:name w:val="目录 91"/>
    <w:basedOn w:val="1"/>
    <w:next w:val="1"/>
    <w:semiHidden/>
    <w:uiPriority w:val="0"/>
    <w:pPr>
      <w:ind w:left="1470"/>
      <w:jc w:val="left"/>
    </w:pPr>
    <w:rPr>
      <w:sz w:val="20"/>
      <w:szCs w:val="20"/>
    </w:rPr>
  </w:style>
  <w:style w:type="paragraph" w:customStyle="1" w:styleId="101">
    <w:name w:val="其他标准标志"/>
    <w:basedOn w:val="51"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02">
    <w:name w:val="其他标准称谓"/>
    <w:next w:val="1"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03">
    <w:name w:val="其他发布部门"/>
    <w:basedOn w:val="59"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04">
    <w:name w:val="前言、引言标题"/>
    <w:next w:val="14"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05">
    <w:name w:val="三级无"/>
    <w:basedOn w:val="36"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06">
    <w:name w:val="实施日期"/>
    <w:basedOn w:val="60"/>
    <w:uiPriority w:val="0"/>
    <w:pPr>
      <w:framePr w:wrap="around" w:vAnchor="page" w:hAnchor="text"/>
      <w:jc w:val="right"/>
    </w:pPr>
  </w:style>
  <w:style w:type="paragraph" w:customStyle="1" w:styleId="107">
    <w:name w:val="示例后文字"/>
    <w:basedOn w:val="14"/>
    <w:next w:val="14"/>
    <w:qFormat/>
    <w:uiPriority w:val="0"/>
    <w:pPr>
      <w:ind w:firstLine="360"/>
    </w:pPr>
    <w:rPr>
      <w:sz w:val="18"/>
    </w:rPr>
  </w:style>
  <w:style w:type="paragraph" w:customStyle="1" w:styleId="108">
    <w:name w:val="首示例"/>
    <w:next w:val="14"/>
    <w:link w:val="109"/>
    <w:qFormat/>
    <w:uiPriority w:val="0"/>
    <w:pPr>
      <w:numPr>
        <w:ilvl w:val="0"/>
        <w:numId w:val="14"/>
      </w:numPr>
      <w:tabs>
        <w:tab w:val="left" w:pos="360"/>
      </w:tabs>
      <w:ind w:firstLine="0"/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09">
    <w:name w:val="首示例 Char"/>
    <w:basedOn w:val="21"/>
    <w:link w:val="108"/>
    <w:uiPriority w:val="0"/>
    <w:rPr>
      <w:rFonts w:ascii="宋体" w:hAnsi="宋体"/>
      <w:kern w:val="2"/>
      <w:sz w:val="18"/>
      <w:szCs w:val="18"/>
      <w:lang w:val="en-US" w:eastAsia="zh-CN" w:bidi="ar-SA"/>
    </w:rPr>
  </w:style>
  <w:style w:type="paragraph" w:customStyle="1" w:styleId="110">
    <w:name w:val="四级无"/>
    <w:basedOn w:val="40"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11">
    <w:name w:val="条文脚注"/>
    <w:basedOn w:val="15"/>
    <w:uiPriority w:val="0"/>
    <w:pPr>
      <w:numPr>
        <w:numId w:val="0"/>
      </w:numPr>
      <w:jc w:val="both"/>
    </w:pPr>
  </w:style>
  <w:style w:type="paragraph" w:customStyle="1" w:styleId="112">
    <w:name w:val="图标脚注说明"/>
    <w:basedOn w:val="14"/>
    <w:uiPriority w:val="0"/>
    <w:pPr>
      <w:ind w:left="840" w:hanging="420" w:firstLineChars="0"/>
    </w:pPr>
    <w:rPr>
      <w:sz w:val="18"/>
      <w:szCs w:val="18"/>
    </w:rPr>
  </w:style>
  <w:style w:type="paragraph" w:customStyle="1" w:styleId="113">
    <w:name w:val="图表脚注说明"/>
    <w:basedOn w:val="1"/>
    <w:uiPriority w:val="0"/>
    <w:pPr>
      <w:numPr>
        <w:ilvl w:val="0"/>
        <w:numId w:val="15"/>
      </w:numPr>
    </w:pPr>
    <w:rPr>
      <w:rFonts w:ascii="宋体"/>
      <w:sz w:val="18"/>
      <w:szCs w:val="18"/>
    </w:rPr>
  </w:style>
  <w:style w:type="paragraph" w:customStyle="1" w:styleId="114">
    <w:name w:val="图的脚注"/>
    <w:next w:val="14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15">
    <w:name w:val="文献分类号"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16">
    <w:name w:val="五级无"/>
    <w:basedOn w:val="41"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17">
    <w:name w:val="一级无"/>
    <w:basedOn w:val="27"/>
    <w:uiPriority w:val="0"/>
    <w:pPr>
      <w:spacing w:before="0" w:beforeLines="0" w:after="0" w:afterLines="0"/>
    </w:pPr>
    <w:rPr>
      <w:rFonts w:ascii="宋体" w:eastAsia="宋体"/>
    </w:rPr>
  </w:style>
  <w:style w:type="character" w:customStyle="1" w:styleId="118">
    <w:name w:val="已访问的超链接1"/>
    <w:basedOn w:val="21"/>
    <w:uiPriority w:val="0"/>
    <w:rPr>
      <w:color w:val="800080"/>
      <w:u w:val="single"/>
    </w:rPr>
  </w:style>
  <w:style w:type="paragraph" w:customStyle="1" w:styleId="119">
    <w:name w:val="正文表标题"/>
    <w:next w:val="14"/>
    <w:uiPriority w:val="0"/>
    <w:pPr>
      <w:numPr>
        <w:ilvl w:val="0"/>
        <w:numId w:val="16"/>
      </w:numPr>
      <w:tabs>
        <w:tab w:val="left" w:pos="360"/>
      </w:tabs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0">
    <w:name w:val="正文公式编号制表符"/>
    <w:basedOn w:val="14"/>
    <w:next w:val="14"/>
    <w:qFormat/>
    <w:uiPriority w:val="0"/>
    <w:pPr>
      <w:ind w:firstLine="0" w:firstLineChars="0"/>
    </w:pPr>
  </w:style>
  <w:style w:type="paragraph" w:customStyle="1" w:styleId="121">
    <w:name w:val="正文图标题"/>
    <w:next w:val="14"/>
    <w:uiPriority w:val="0"/>
    <w:pPr>
      <w:numPr>
        <w:ilvl w:val="0"/>
        <w:numId w:val="17"/>
      </w:numPr>
      <w:tabs>
        <w:tab w:val="left" w:pos="360"/>
      </w:tabs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2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123">
    <w:name w:val="其他发布日期"/>
    <w:basedOn w:val="60"/>
    <w:uiPriority w:val="0"/>
    <w:pPr>
      <w:framePr w:wrap="around" w:vAnchor="page" w:hAnchor="text" w:x="1419"/>
    </w:pPr>
  </w:style>
  <w:style w:type="paragraph" w:customStyle="1" w:styleId="124">
    <w:name w:val="其他实施日期"/>
    <w:basedOn w:val="106"/>
    <w:uiPriority w:val="0"/>
    <w:pPr>
      <w:framePr w:wrap="around"/>
    </w:pPr>
  </w:style>
  <w:style w:type="paragraph" w:customStyle="1" w:styleId="125">
    <w:name w:val="封面标准名称2"/>
    <w:basedOn w:val="63"/>
    <w:uiPriority w:val="0"/>
    <w:pPr>
      <w:framePr w:wrap="around" w:y="4469"/>
      <w:spacing w:before="630" w:beforeLines="630"/>
    </w:pPr>
  </w:style>
  <w:style w:type="paragraph" w:customStyle="1" w:styleId="126">
    <w:name w:val="封面标准英文名称2"/>
    <w:basedOn w:val="64"/>
    <w:uiPriority w:val="0"/>
    <w:pPr>
      <w:framePr w:wrap="around" w:y="4469"/>
    </w:pPr>
  </w:style>
  <w:style w:type="paragraph" w:customStyle="1" w:styleId="127">
    <w:name w:val="封面一致性程度标识2"/>
    <w:basedOn w:val="65"/>
    <w:uiPriority w:val="0"/>
    <w:pPr>
      <w:framePr w:wrap="around" w:y="4469"/>
    </w:pPr>
  </w:style>
  <w:style w:type="paragraph" w:customStyle="1" w:styleId="128">
    <w:name w:val="封面标准文稿类别2"/>
    <w:basedOn w:val="66"/>
    <w:uiPriority w:val="0"/>
    <w:pPr>
      <w:framePr w:wrap="around" w:y="4469"/>
    </w:pPr>
  </w:style>
  <w:style w:type="paragraph" w:customStyle="1" w:styleId="129">
    <w:name w:val="封面标准文稿编辑信息2"/>
    <w:basedOn w:val="67"/>
    <w:uiPriority w:val="0"/>
    <w:pPr>
      <w:framePr w:wrap="around" w:y="4469"/>
    </w:pPr>
  </w:style>
  <w:style w:type="paragraph" w:customStyle="1" w:styleId="130">
    <w:name w:val="列出段落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31">
    <w:name w:val="目录 11"/>
    <w:basedOn w:val="1"/>
    <w:next w:val="1"/>
    <w:semiHidden/>
    <w:uiPriority w:val="0"/>
    <w:pPr>
      <w:tabs>
        <w:tab w:val="right" w:leader="dot" w:pos="9242"/>
      </w:tabs>
      <w:spacing w:before="25" w:beforeLines="25" w:after="25" w:afterLines="25"/>
      <w:jc w:val="left"/>
    </w:pPr>
    <w:rPr>
      <w:rFonts w:ascii="宋体"/>
      <w:szCs w:val="21"/>
    </w:rPr>
  </w:style>
  <w:style w:type="paragraph" w:customStyle="1" w:styleId="132">
    <w:name w:val="目录 21"/>
    <w:basedOn w:val="1"/>
    <w:next w:val="1"/>
    <w:semiHidden/>
    <w:uiPriority w:val="0"/>
    <w:pPr>
      <w:tabs>
        <w:tab w:val="right" w:leader="dot" w:pos="9242"/>
      </w:tabs>
    </w:pPr>
    <w:rPr>
      <w:rFonts w:ascii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macbookpro/Library/Containers/com.tencent.xinWeChat/Data/Library/Application%20Support/com.tencent.xinWeChat/2.0b4.0.9/95bd6800e9874485f8f04412e7dda6f6/Message/MessageTemp/d2b62ed11c90694b710e8fd664de1ff3/File/&#24180;&#20221;&#26222;&#27953;&#33590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年份普洱茶.dot</Template>
  <Company>zle</Company>
  <Pages>9</Pages>
  <Words>810</Words>
  <Characters>4619</Characters>
  <Lines>38</Lines>
  <Paragraphs>10</Paragraphs>
  <TotalTime>1</TotalTime>
  <ScaleCrop>false</ScaleCrop>
  <LinksUpToDate>false</LinksUpToDate>
  <CharactersWithSpaces>5419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2023-11-12T09:19:00Z</dcterms:created>
  <dc:creator>Macbook pro</dc:creator>
  <cp:lastModifiedBy>此生·繁花</cp:lastModifiedBy>
  <dcterms:modified xsi:type="dcterms:W3CDTF">2023-11-11T12:11:46Z</dcterms:modified>
  <dc:title>标准名称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1FE93B18AD993CBE71D94E656F38020F_42</vt:lpwstr>
  </property>
</Properties>
</file>